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4F0C" w14:textId="5B6A0955" w:rsidR="00967A82" w:rsidRPr="00967A82" w:rsidRDefault="005044A7" w:rsidP="00967A82">
      <w:pPr>
        <w:spacing w:before="100" w:beforeAutospacing="1" w:after="100" w:afterAutospacing="1" w:line="360" w:lineRule="auto"/>
        <w:jc w:val="center"/>
        <w:rPr>
          <w:rFonts w:ascii="Arial" w:hAnsi="Arial" w:cs="Arial"/>
          <w:b/>
          <w:bCs/>
          <w:color w:val="333333"/>
          <w:sz w:val="26"/>
          <w:szCs w:val="26"/>
          <w:lang w:val="en-IE"/>
        </w:rPr>
      </w:pPr>
      <w:r w:rsidRPr="00967A82">
        <w:rPr>
          <w:rFonts w:ascii="Arial" w:hAnsi="Arial" w:cs="Arial"/>
          <w:b/>
          <w:bCs/>
          <w:color w:val="333333"/>
          <w:sz w:val="26"/>
          <w:szCs w:val="26"/>
          <w:lang w:val="en-IE"/>
        </w:rPr>
        <w:t xml:space="preserve">Savills IM identifies </w:t>
      </w:r>
      <w:r w:rsidR="003F210F" w:rsidRPr="00967A82">
        <w:rPr>
          <w:rFonts w:ascii="Arial" w:hAnsi="Arial" w:cs="Arial"/>
          <w:b/>
          <w:bCs/>
          <w:color w:val="333333"/>
          <w:sz w:val="26"/>
          <w:szCs w:val="26"/>
          <w:lang w:val="en-IE"/>
        </w:rPr>
        <w:t xml:space="preserve">real estate </w:t>
      </w:r>
      <w:r w:rsidRPr="00967A82">
        <w:rPr>
          <w:rFonts w:ascii="Arial" w:hAnsi="Arial" w:cs="Arial"/>
          <w:b/>
          <w:bCs/>
          <w:color w:val="333333"/>
          <w:sz w:val="26"/>
          <w:szCs w:val="26"/>
          <w:lang w:val="en-IE"/>
        </w:rPr>
        <w:t xml:space="preserve">opportunities </w:t>
      </w:r>
      <w:r w:rsidR="0069760C" w:rsidRPr="00967A82">
        <w:rPr>
          <w:rFonts w:ascii="Arial" w:hAnsi="Arial" w:cs="Arial"/>
          <w:b/>
          <w:bCs/>
          <w:color w:val="333333"/>
          <w:sz w:val="26"/>
          <w:szCs w:val="26"/>
          <w:lang w:val="en-IE"/>
        </w:rPr>
        <w:t xml:space="preserve">resulting </w:t>
      </w:r>
      <w:r w:rsidR="003F210F" w:rsidRPr="00967A82">
        <w:rPr>
          <w:rFonts w:ascii="Arial" w:hAnsi="Arial" w:cs="Arial"/>
          <w:b/>
          <w:bCs/>
          <w:color w:val="333333"/>
          <w:sz w:val="26"/>
          <w:szCs w:val="26"/>
          <w:lang w:val="en-IE"/>
        </w:rPr>
        <w:t>from</w:t>
      </w:r>
      <w:r w:rsidRPr="00967A82">
        <w:rPr>
          <w:rFonts w:ascii="Arial" w:hAnsi="Arial" w:cs="Arial"/>
          <w:b/>
          <w:bCs/>
          <w:color w:val="333333"/>
          <w:sz w:val="26"/>
          <w:szCs w:val="26"/>
          <w:lang w:val="en-IE"/>
        </w:rPr>
        <w:t xml:space="preserve"> the secular shift in capital markets</w:t>
      </w:r>
    </w:p>
    <w:p w14:paraId="0554346E" w14:textId="0031B906" w:rsidR="00736A93" w:rsidRDefault="0032080A" w:rsidP="00967A82">
      <w:pPr>
        <w:pStyle w:val="Akapitzlist"/>
        <w:numPr>
          <w:ilvl w:val="0"/>
          <w:numId w:val="25"/>
        </w:numPr>
        <w:spacing w:before="100" w:beforeAutospacing="1"/>
        <w:ind w:left="714" w:hanging="357"/>
        <w:contextualSpacing w:val="0"/>
        <w:jc w:val="both"/>
        <w:rPr>
          <w:rFonts w:ascii="Arial" w:hAnsi="Arial" w:cs="Arial"/>
          <w:b/>
          <w:bCs/>
          <w:color w:val="333333"/>
          <w:sz w:val="18"/>
          <w:szCs w:val="18"/>
          <w:lang w:val="en-IE"/>
        </w:rPr>
      </w:pPr>
      <w:r>
        <w:rPr>
          <w:rFonts w:ascii="Arial" w:hAnsi="Arial" w:cs="Arial"/>
          <w:b/>
          <w:bCs/>
          <w:color w:val="333333"/>
          <w:sz w:val="18"/>
          <w:szCs w:val="18"/>
          <w:lang w:val="en-IE"/>
        </w:rPr>
        <w:t xml:space="preserve">70% expect real estate investment </w:t>
      </w:r>
      <w:r w:rsidR="000412BC">
        <w:rPr>
          <w:rFonts w:ascii="Arial" w:hAnsi="Arial" w:cs="Arial"/>
          <w:b/>
          <w:bCs/>
          <w:color w:val="333333"/>
          <w:sz w:val="18"/>
          <w:szCs w:val="18"/>
          <w:lang w:val="en-IE"/>
        </w:rPr>
        <w:t xml:space="preserve">will be </w:t>
      </w:r>
      <w:r w:rsidR="00B94F2C">
        <w:rPr>
          <w:rFonts w:ascii="Arial" w:hAnsi="Arial" w:cs="Arial"/>
          <w:b/>
          <w:bCs/>
          <w:color w:val="333333"/>
          <w:sz w:val="18"/>
          <w:szCs w:val="18"/>
          <w:lang w:val="en-IE"/>
        </w:rPr>
        <w:t xml:space="preserve">increased or </w:t>
      </w:r>
      <w:r w:rsidR="000412BC">
        <w:rPr>
          <w:rFonts w:ascii="Arial" w:hAnsi="Arial" w:cs="Arial"/>
          <w:b/>
          <w:bCs/>
          <w:color w:val="333333"/>
          <w:sz w:val="18"/>
          <w:szCs w:val="18"/>
          <w:lang w:val="en-IE"/>
        </w:rPr>
        <w:t xml:space="preserve">maintained </w:t>
      </w:r>
      <w:r>
        <w:rPr>
          <w:rFonts w:ascii="Arial" w:hAnsi="Arial" w:cs="Arial"/>
          <w:b/>
          <w:bCs/>
          <w:color w:val="333333"/>
          <w:sz w:val="18"/>
          <w:szCs w:val="18"/>
          <w:lang w:val="en-IE"/>
        </w:rPr>
        <w:t>over next 12 months</w:t>
      </w:r>
      <w:r w:rsidR="0069760C">
        <w:rPr>
          <w:rFonts w:ascii="Arial" w:hAnsi="Arial" w:cs="Arial"/>
          <w:b/>
          <w:bCs/>
          <w:color w:val="333333"/>
          <w:sz w:val="18"/>
          <w:szCs w:val="18"/>
          <w:lang w:val="en-IE"/>
        </w:rPr>
        <w:t>.</w:t>
      </w:r>
    </w:p>
    <w:p w14:paraId="5501E851" w14:textId="1F798E45" w:rsidR="002C1B7C" w:rsidRDefault="00021A49" w:rsidP="00967A82">
      <w:pPr>
        <w:pStyle w:val="Akapitzlist"/>
        <w:numPr>
          <w:ilvl w:val="0"/>
          <w:numId w:val="25"/>
        </w:numPr>
        <w:spacing w:before="100" w:beforeAutospacing="1"/>
        <w:ind w:left="714" w:hanging="357"/>
        <w:contextualSpacing w:val="0"/>
        <w:jc w:val="both"/>
        <w:rPr>
          <w:rFonts w:ascii="Arial" w:hAnsi="Arial" w:cs="Arial"/>
          <w:b/>
          <w:bCs/>
          <w:color w:val="333333"/>
          <w:sz w:val="18"/>
          <w:szCs w:val="18"/>
          <w:lang w:val="en-IE"/>
        </w:rPr>
      </w:pPr>
      <w:r>
        <w:rPr>
          <w:rFonts w:ascii="Arial" w:hAnsi="Arial" w:cs="Arial"/>
          <w:b/>
          <w:bCs/>
          <w:color w:val="333333"/>
          <w:sz w:val="18"/>
          <w:szCs w:val="18"/>
          <w:lang w:val="en-IE"/>
        </w:rPr>
        <w:t>Savills IM</w:t>
      </w:r>
      <w:r w:rsidR="00F07331">
        <w:rPr>
          <w:rFonts w:ascii="Arial" w:hAnsi="Arial" w:cs="Arial"/>
          <w:b/>
          <w:bCs/>
          <w:color w:val="333333"/>
          <w:sz w:val="18"/>
          <w:szCs w:val="18"/>
          <w:lang w:val="en-IE"/>
        </w:rPr>
        <w:t xml:space="preserve"> </w:t>
      </w:r>
      <w:r w:rsidR="00547B3E" w:rsidRPr="00547B3E">
        <w:rPr>
          <w:rFonts w:ascii="Arial" w:hAnsi="Arial" w:cs="Arial"/>
          <w:b/>
          <w:bCs/>
          <w:color w:val="333333"/>
          <w:sz w:val="18"/>
          <w:szCs w:val="18"/>
          <w:lang w:val="en-IE"/>
        </w:rPr>
        <w:t xml:space="preserve">highlights </w:t>
      </w:r>
      <w:r w:rsidR="00541154" w:rsidRPr="00541154">
        <w:rPr>
          <w:rFonts w:ascii="Arial" w:hAnsi="Arial" w:cs="Arial"/>
          <w:b/>
          <w:bCs/>
          <w:color w:val="333333"/>
          <w:sz w:val="18"/>
          <w:szCs w:val="18"/>
          <w:lang w:val="en-IE"/>
        </w:rPr>
        <w:t>strong long-term opportunit</w:t>
      </w:r>
      <w:r w:rsidR="00541154">
        <w:rPr>
          <w:rFonts w:ascii="Arial" w:hAnsi="Arial" w:cs="Arial"/>
          <w:b/>
          <w:bCs/>
          <w:color w:val="333333"/>
          <w:sz w:val="18"/>
          <w:szCs w:val="18"/>
          <w:lang w:val="en-IE"/>
        </w:rPr>
        <w:t>ies</w:t>
      </w:r>
      <w:r w:rsidR="00943F7C">
        <w:rPr>
          <w:rFonts w:ascii="Arial" w:hAnsi="Arial" w:cs="Arial"/>
          <w:b/>
          <w:bCs/>
          <w:color w:val="333333"/>
          <w:sz w:val="18"/>
          <w:szCs w:val="18"/>
          <w:lang w:val="en-IE"/>
        </w:rPr>
        <w:t xml:space="preserve"> </w:t>
      </w:r>
      <w:r w:rsidR="00386B4D">
        <w:rPr>
          <w:rFonts w:ascii="Arial" w:hAnsi="Arial" w:cs="Arial"/>
          <w:b/>
          <w:bCs/>
          <w:color w:val="333333"/>
          <w:sz w:val="18"/>
          <w:szCs w:val="18"/>
          <w:lang w:val="en-IE"/>
        </w:rPr>
        <w:t xml:space="preserve">in logistics, </w:t>
      </w:r>
      <w:r w:rsidR="009D5E28">
        <w:rPr>
          <w:rFonts w:ascii="Arial" w:hAnsi="Arial" w:cs="Arial"/>
          <w:b/>
          <w:bCs/>
          <w:color w:val="333333"/>
          <w:sz w:val="18"/>
          <w:szCs w:val="18"/>
          <w:lang w:val="en-IE"/>
        </w:rPr>
        <w:t>grocery retail</w:t>
      </w:r>
      <w:r w:rsidR="00274B4A">
        <w:rPr>
          <w:rFonts w:ascii="Arial" w:hAnsi="Arial" w:cs="Arial"/>
          <w:b/>
          <w:bCs/>
          <w:color w:val="333333"/>
          <w:sz w:val="18"/>
          <w:szCs w:val="18"/>
          <w:lang w:val="en-IE"/>
        </w:rPr>
        <w:t xml:space="preserve"> and</w:t>
      </w:r>
      <w:r w:rsidR="009D5E28">
        <w:rPr>
          <w:rFonts w:ascii="Arial" w:hAnsi="Arial" w:cs="Arial"/>
          <w:b/>
          <w:bCs/>
          <w:color w:val="333333"/>
          <w:sz w:val="18"/>
          <w:szCs w:val="18"/>
          <w:lang w:val="en-IE"/>
        </w:rPr>
        <w:t xml:space="preserve"> CBD offices</w:t>
      </w:r>
      <w:r w:rsidR="0069760C">
        <w:rPr>
          <w:rFonts w:ascii="Arial" w:hAnsi="Arial" w:cs="Arial"/>
          <w:b/>
          <w:bCs/>
          <w:color w:val="333333"/>
          <w:sz w:val="18"/>
          <w:szCs w:val="18"/>
          <w:lang w:val="en-IE"/>
        </w:rPr>
        <w:t>,</w:t>
      </w:r>
      <w:r w:rsidR="006D5EE1">
        <w:rPr>
          <w:rFonts w:ascii="Arial" w:hAnsi="Arial" w:cs="Arial"/>
          <w:b/>
          <w:bCs/>
          <w:color w:val="333333"/>
          <w:sz w:val="18"/>
          <w:szCs w:val="18"/>
          <w:lang w:val="en-IE"/>
        </w:rPr>
        <w:t xml:space="preserve"> </w:t>
      </w:r>
      <w:r w:rsidR="00541154" w:rsidRPr="00541154">
        <w:rPr>
          <w:rFonts w:ascii="Arial" w:hAnsi="Arial" w:cs="Arial"/>
          <w:b/>
          <w:bCs/>
          <w:color w:val="333333"/>
          <w:sz w:val="18"/>
          <w:szCs w:val="18"/>
          <w:lang w:val="en-IE"/>
        </w:rPr>
        <w:t>underpinned by supportive fundamentals</w:t>
      </w:r>
      <w:r w:rsidR="0069760C">
        <w:rPr>
          <w:rFonts w:ascii="Arial" w:hAnsi="Arial" w:cs="Arial"/>
          <w:b/>
          <w:bCs/>
          <w:color w:val="333333"/>
          <w:sz w:val="18"/>
          <w:szCs w:val="18"/>
          <w:lang w:val="en-IE"/>
        </w:rPr>
        <w:t>.</w:t>
      </w:r>
    </w:p>
    <w:p w14:paraId="5151A676" w14:textId="77A99EFC" w:rsidR="007211AB" w:rsidRDefault="005603AE" w:rsidP="00967A82">
      <w:pPr>
        <w:pStyle w:val="Akapitzlist"/>
        <w:numPr>
          <w:ilvl w:val="0"/>
          <w:numId w:val="25"/>
        </w:numPr>
        <w:spacing w:before="100" w:beforeAutospacing="1"/>
        <w:ind w:left="714" w:hanging="357"/>
        <w:contextualSpacing w:val="0"/>
        <w:jc w:val="both"/>
        <w:rPr>
          <w:rFonts w:ascii="Arial" w:hAnsi="Arial" w:cs="Arial"/>
          <w:b/>
          <w:bCs/>
          <w:color w:val="333333"/>
          <w:sz w:val="18"/>
          <w:szCs w:val="18"/>
          <w:lang w:val="en-IE"/>
        </w:rPr>
      </w:pPr>
      <w:r>
        <w:rPr>
          <w:rFonts w:ascii="Arial" w:hAnsi="Arial" w:cs="Arial"/>
          <w:b/>
          <w:bCs/>
          <w:color w:val="333333"/>
          <w:sz w:val="18"/>
          <w:szCs w:val="18"/>
          <w:lang w:val="en-IE"/>
        </w:rPr>
        <w:t xml:space="preserve">The alternatives sector is becoming increasingly </w:t>
      </w:r>
      <w:r w:rsidR="005B4107">
        <w:rPr>
          <w:rFonts w:ascii="Arial" w:hAnsi="Arial" w:cs="Arial"/>
          <w:b/>
          <w:bCs/>
          <w:color w:val="333333"/>
          <w:sz w:val="18"/>
          <w:szCs w:val="18"/>
          <w:lang w:val="en-IE"/>
        </w:rPr>
        <w:t xml:space="preserve">popular for investors </w:t>
      </w:r>
      <w:r w:rsidR="007E50AA" w:rsidRPr="007E50AA">
        <w:rPr>
          <w:rFonts w:ascii="Arial" w:hAnsi="Arial" w:cs="Arial"/>
          <w:b/>
          <w:bCs/>
          <w:color w:val="333333"/>
          <w:sz w:val="18"/>
          <w:szCs w:val="18"/>
          <w:lang w:val="en-IE"/>
        </w:rPr>
        <w:t xml:space="preserve">who want to </w:t>
      </w:r>
      <w:r w:rsidR="003F210F">
        <w:rPr>
          <w:rFonts w:ascii="Arial" w:hAnsi="Arial" w:cs="Arial"/>
          <w:b/>
          <w:bCs/>
          <w:color w:val="333333"/>
          <w:sz w:val="18"/>
          <w:szCs w:val="18"/>
          <w:lang w:val="en-IE"/>
        </w:rPr>
        <w:t xml:space="preserve">increase </w:t>
      </w:r>
      <w:r w:rsidR="007E50AA" w:rsidRPr="007E50AA">
        <w:rPr>
          <w:rFonts w:ascii="Arial" w:hAnsi="Arial" w:cs="Arial"/>
          <w:b/>
          <w:bCs/>
          <w:color w:val="333333"/>
          <w:sz w:val="18"/>
          <w:szCs w:val="18"/>
          <w:lang w:val="en-IE"/>
        </w:rPr>
        <w:t>value-add elements to their portfolios</w:t>
      </w:r>
      <w:r w:rsidR="0069760C">
        <w:rPr>
          <w:rFonts w:ascii="Arial" w:hAnsi="Arial" w:cs="Arial"/>
          <w:b/>
          <w:bCs/>
          <w:color w:val="333333"/>
          <w:sz w:val="18"/>
          <w:szCs w:val="18"/>
          <w:lang w:val="en-IE"/>
        </w:rPr>
        <w:t>.</w:t>
      </w:r>
    </w:p>
    <w:p w14:paraId="599B6C08" w14:textId="4398C9BB" w:rsidR="00255240" w:rsidRPr="00967A82" w:rsidRDefault="002A797A" w:rsidP="00967A82">
      <w:pPr>
        <w:spacing w:before="100" w:beforeAutospacing="1" w:afterLines="60" w:after="144" w:line="360" w:lineRule="auto"/>
        <w:jc w:val="both"/>
        <w:rPr>
          <w:rFonts w:ascii="Arial" w:hAnsi="Arial" w:cs="Arial"/>
          <w:sz w:val="20"/>
          <w:szCs w:val="20"/>
          <w:lang w:val="en-IE"/>
        </w:rPr>
      </w:pPr>
      <w:r w:rsidRPr="00967A82">
        <w:rPr>
          <w:rFonts w:ascii="Arial" w:hAnsi="Arial" w:cs="Arial"/>
          <w:b/>
          <w:bCs/>
          <w:sz w:val="20"/>
          <w:szCs w:val="20"/>
          <w:lang w:val="en-IE"/>
        </w:rPr>
        <w:t>26</w:t>
      </w:r>
      <w:r w:rsidR="00F27C90" w:rsidRPr="00967A82">
        <w:rPr>
          <w:rFonts w:ascii="Arial" w:hAnsi="Arial" w:cs="Arial"/>
          <w:b/>
          <w:bCs/>
          <w:sz w:val="20"/>
          <w:szCs w:val="20"/>
          <w:lang w:val="en-IE"/>
        </w:rPr>
        <w:t xml:space="preserve"> </w:t>
      </w:r>
      <w:r w:rsidR="00AA06A9" w:rsidRPr="00967A82">
        <w:rPr>
          <w:rFonts w:ascii="Arial" w:hAnsi="Arial" w:cs="Arial"/>
          <w:b/>
          <w:bCs/>
          <w:sz w:val="20"/>
          <w:szCs w:val="20"/>
          <w:lang w:val="en-IE"/>
        </w:rPr>
        <w:t>Novem</w:t>
      </w:r>
      <w:r w:rsidR="004C3C39" w:rsidRPr="00967A82">
        <w:rPr>
          <w:rFonts w:ascii="Arial" w:hAnsi="Arial" w:cs="Arial"/>
          <w:b/>
          <w:bCs/>
          <w:sz w:val="20"/>
          <w:szCs w:val="20"/>
          <w:lang w:val="en-IE"/>
        </w:rPr>
        <w:t>ber</w:t>
      </w:r>
      <w:r w:rsidR="00AB42FA" w:rsidRPr="00967A82">
        <w:rPr>
          <w:rFonts w:ascii="Arial" w:hAnsi="Arial" w:cs="Arial"/>
          <w:b/>
          <w:bCs/>
          <w:sz w:val="20"/>
          <w:szCs w:val="20"/>
          <w:lang w:val="en-IE"/>
        </w:rPr>
        <w:t xml:space="preserve"> 2020 </w:t>
      </w:r>
      <w:r w:rsidR="00036AD7" w:rsidRPr="00967A82">
        <w:rPr>
          <w:rFonts w:ascii="Arial" w:hAnsi="Arial" w:cs="Arial"/>
          <w:b/>
          <w:bCs/>
          <w:sz w:val="20"/>
          <w:szCs w:val="20"/>
          <w:lang w:val="en-IE"/>
        </w:rPr>
        <w:t>–</w:t>
      </w:r>
      <w:r w:rsidR="00465897" w:rsidRPr="00967A82">
        <w:rPr>
          <w:rFonts w:ascii="Arial" w:hAnsi="Arial" w:cs="Arial"/>
          <w:b/>
          <w:bCs/>
          <w:sz w:val="20"/>
          <w:szCs w:val="20"/>
          <w:lang w:val="en-IE"/>
        </w:rPr>
        <w:t xml:space="preserve"> </w:t>
      </w:r>
      <w:r w:rsidR="0069760C" w:rsidRPr="00967A82">
        <w:rPr>
          <w:rFonts w:ascii="Arial" w:hAnsi="Arial" w:cs="Arial"/>
          <w:sz w:val="20"/>
          <w:szCs w:val="20"/>
          <w:lang w:val="en-IE"/>
        </w:rPr>
        <w:t>C</w:t>
      </w:r>
      <w:r w:rsidR="00F05720" w:rsidRPr="00967A82">
        <w:rPr>
          <w:rFonts w:ascii="Arial" w:hAnsi="Arial" w:cs="Arial"/>
          <w:sz w:val="20"/>
          <w:szCs w:val="20"/>
          <w:lang w:val="en-IE"/>
        </w:rPr>
        <w:t>entral business district</w:t>
      </w:r>
      <w:r w:rsidR="00E83AA0" w:rsidRPr="00967A82">
        <w:rPr>
          <w:rFonts w:ascii="Arial" w:hAnsi="Arial" w:cs="Arial"/>
          <w:sz w:val="20"/>
          <w:szCs w:val="20"/>
          <w:lang w:val="en-IE"/>
        </w:rPr>
        <w:t xml:space="preserve"> (CBD)</w:t>
      </w:r>
      <w:r w:rsidR="0069760C" w:rsidRPr="00967A82">
        <w:rPr>
          <w:rFonts w:ascii="Arial" w:hAnsi="Arial" w:cs="Arial"/>
          <w:sz w:val="20"/>
          <w:szCs w:val="20"/>
          <w:lang w:val="en-IE"/>
        </w:rPr>
        <w:t xml:space="preserve"> offices</w:t>
      </w:r>
      <w:r w:rsidR="00F05720" w:rsidRPr="00967A82">
        <w:rPr>
          <w:rFonts w:ascii="Arial" w:hAnsi="Arial" w:cs="Arial"/>
          <w:sz w:val="20"/>
          <w:szCs w:val="20"/>
          <w:lang w:val="en-IE"/>
        </w:rPr>
        <w:t xml:space="preserve">, </w:t>
      </w:r>
      <w:r w:rsidR="0041554C" w:rsidRPr="00967A82">
        <w:rPr>
          <w:rFonts w:ascii="Arial" w:hAnsi="Arial" w:cs="Arial"/>
          <w:sz w:val="20"/>
          <w:szCs w:val="20"/>
          <w:lang w:val="en-IE"/>
        </w:rPr>
        <w:t xml:space="preserve">supermarkets and </w:t>
      </w:r>
      <w:r w:rsidR="00F05720" w:rsidRPr="00967A82">
        <w:rPr>
          <w:rFonts w:ascii="Arial" w:hAnsi="Arial" w:cs="Arial"/>
          <w:sz w:val="20"/>
          <w:szCs w:val="20"/>
          <w:lang w:val="en-IE"/>
        </w:rPr>
        <w:t>food</w:t>
      </w:r>
      <w:r w:rsidR="00E83AA0" w:rsidRPr="00967A82">
        <w:rPr>
          <w:rFonts w:ascii="Arial" w:hAnsi="Arial" w:cs="Arial"/>
          <w:sz w:val="20"/>
          <w:szCs w:val="20"/>
          <w:lang w:val="en-IE"/>
        </w:rPr>
        <w:t>-</w:t>
      </w:r>
      <w:r w:rsidR="00F05720" w:rsidRPr="00967A82">
        <w:rPr>
          <w:rFonts w:ascii="Arial" w:hAnsi="Arial" w:cs="Arial"/>
          <w:sz w:val="20"/>
          <w:szCs w:val="20"/>
          <w:lang w:val="en-IE"/>
        </w:rPr>
        <w:t xml:space="preserve">anchored retail parks </w:t>
      </w:r>
      <w:r w:rsidR="0069760C" w:rsidRPr="00967A82">
        <w:rPr>
          <w:rFonts w:ascii="Arial" w:hAnsi="Arial" w:cs="Arial"/>
          <w:sz w:val="20"/>
          <w:szCs w:val="20"/>
          <w:lang w:val="en-IE"/>
        </w:rPr>
        <w:t xml:space="preserve">as well as </w:t>
      </w:r>
      <w:r w:rsidR="00F05720" w:rsidRPr="00967A82">
        <w:rPr>
          <w:rFonts w:ascii="Arial" w:hAnsi="Arial" w:cs="Arial"/>
          <w:sz w:val="20"/>
          <w:szCs w:val="20"/>
          <w:lang w:val="en-IE"/>
        </w:rPr>
        <w:t xml:space="preserve">logistics assets in </w:t>
      </w:r>
      <w:r w:rsidR="00255240" w:rsidRPr="00967A82">
        <w:rPr>
          <w:rFonts w:ascii="Arial" w:hAnsi="Arial" w:cs="Arial"/>
          <w:sz w:val="20"/>
          <w:szCs w:val="20"/>
          <w:lang w:val="en-IE"/>
        </w:rPr>
        <w:t>key</w:t>
      </w:r>
      <w:r w:rsidR="00F05720" w:rsidRPr="00967A82">
        <w:rPr>
          <w:rFonts w:ascii="Arial" w:hAnsi="Arial" w:cs="Arial"/>
          <w:sz w:val="20"/>
          <w:szCs w:val="20"/>
          <w:lang w:val="en-IE"/>
        </w:rPr>
        <w:t xml:space="preserve"> </w:t>
      </w:r>
      <w:r w:rsidR="00E83AA0" w:rsidRPr="00967A82">
        <w:rPr>
          <w:rFonts w:ascii="Arial" w:hAnsi="Arial" w:cs="Arial"/>
          <w:sz w:val="20"/>
          <w:szCs w:val="20"/>
          <w:lang w:val="en-IE"/>
        </w:rPr>
        <w:t>locations</w:t>
      </w:r>
      <w:r w:rsidR="00F05720" w:rsidRPr="00967A82">
        <w:rPr>
          <w:rFonts w:ascii="Arial" w:hAnsi="Arial" w:cs="Arial"/>
          <w:sz w:val="20"/>
          <w:szCs w:val="20"/>
          <w:lang w:val="en-IE"/>
        </w:rPr>
        <w:t xml:space="preserve"> across Europe </w:t>
      </w:r>
      <w:r w:rsidR="00620A18" w:rsidRPr="00967A82">
        <w:rPr>
          <w:rFonts w:ascii="Arial" w:hAnsi="Arial" w:cs="Arial"/>
          <w:sz w:val="20"/>
          <w:szCs w:val="20"/>
          <w:lang w:val="en-IE"/>
        </w:rPr>
        <w:t xml:space="preserve">will </w:t>
      </w:r>
      <w:r w:rsidR="00F05720" w:rsidRPr="00967A82">
        <w:rPr>
          <w:rFonts w:ascii="Arial" w:hAnsi="Arial" w:cs="Arial"/>
          <w:sz w:val="20"/>
          <w:szCs w:val="20"/>
          <w:lang w:val="en-IE"/>
        </w:rPr>
        <w:t xml:space="preserve">present attractive investment opportunities in 2021 as investors regain confidence </w:t>
      </w:r>
      <w:r w:rsidR="00255240" w:rsidRPr="00967A82">
        <w:rPr>
          <w:rFonts w:ascii="Arial" w:hAnsi="Arial" w:cs="Arial"/>
          <w:sz w:val="20"/>
          <w:szCs w:val="20"/>
          <w:lang w:val="en-IE"/>
        </w:rPr>
        <w:t>following</w:t>
      </w:r>
      <w:r w:rsidR="00F05720" w:rsidRPr="00967A82">
        <w:rPr>
          <w:rFonts w:ascii="Arial" w:hAnsi="Arial" w:cs="Arial"/>
          <w:sz w:val="20"/>
          <w:szCs w:val="20"/>
          <w:lang w:val="en-IE"/>
        </w:rPr>
        <w:t xml:space="preserve"> the COVID-19 crisis, according to Savills Investment Management</w:t>
      </w:r>
      <w:r w:rsidR="00620A18" w:rsidRPr="00967A82">
        <w:rPr>
          <w:rFonts w:ascii="Arial" w:hAnsi="Arial" w:cs="Arial"/>
          <w:sz w:val="20"/>
          <w:szCs w:val="20"/>
          <w:lang w:val="en-IE"/>
        </w:rPr>
        <w:t xml:space="preserve"> </w:t>
      </w:r>
      <w:r w:rsidR="00620A18" w:rsidRPr="00967A82">
        <w:rPr>
          <w:rFonts w:ascii="Arial" w:hAnsi="Arial" w:cs="Arial"/>
          <w:sz w:val="20"/>
          <w:szCs w:val="20"/>
          <w:lang w:val="en-US"/>
        </w:rPr>
        <w:t>(Savills IM</w:t>
      </w:r>
      <w:r w:rsidR="00620A18" w:rsidRPr="00967A82">
        <w:rPr>
          <w:rFonts w:ascii="Arial" w:hAnsi="Arial" w:cs="Arial"/>
          <w:i/>
          <w:iCs/>
          <w:sz w:val="20"/>
          <w:szCs w:val="20"/>
          <w:lang w:val="en-US"/>
        </w:rPr>
        <w:t>)</w:t>
      </w:r>
      <w:r w:rsidR="001D0BC5" w:rsidRPr="00967A82">
        <w:rPr>
          <w:rFonts w:ascii="Arial" w:hAnsi="Arial" w:cs="Arial"/>
          <w:sz w:val="20"/>
          <w:szCs w:val="20"/>
          <w:lang w:val="en-IE"/>
        </w:rPr>
        <w:t>, the international real estate investment manager.</w:t>
      </w:r>
    </w:p>
    <w:p w14:paraId="07B9D816" w14:textId="51B1243E" w:rsidR="00682108" w:rsidRPr="00967A82" w:rsidRDefault="00682108" w:rsidP="00967A82">
      <w:pPr>
        <w:spacing w:before="100" w:beforeAutospacing="1" w:afterLines="60" w:after="144" w:line="360" w:lineRule="auto"/>
        <w:jc w:val="both"/>
        <w:rPr>
          <w:rFonts w:ascii="Arial" w:hAnsi="Arial" w:cs="Arial"/>
          <w:sz w:val="20"/>
          <w:szCs w:val="20"/>
          <w:lang w:val="en-IE"/>
        </w:rPr>
      </w:pPr>
      <w:r w:rsidRPr="00967A82">
        <w:rPr>
          <w:rFonts w:ascii="Arial" w:hAnsi="Arial" w:cs="Arial"/>
          <w:sz w:val="20"/>
          <w:szCs w:val="20"/>
          <w:lang w:val="en-IE"/>
        </w:rPr>
        <w:t>While containing the spread of the pandemic will remain the focal point, other challenges also lie ahead in 2021. The impact of the UK leaving the EU will come into full effect</w:t>
      </w:r>
      <w:r w:rsidR="003F210F" w:rsidRPr="00967A82">
        <w:rPr>
          <w:rFonts w:ascii="Arial" w:hAnsi="Arial" w:cs="Arial"/>
          <w:sz w:val="20"/>
          <w:szCs w:val="20"/>
          <w:lang w:val="en-IE"/>
        </w:rPr>
        <w:t xml:space="preserve">. </w:t>
      </w:r>
      <w:r w:rsidR="0069760C" w:rsidRPr="00967A82">
        <w:rPr>
          <w:rFonts w:ascii="Arial" w:hAnsi="Arial" w:cs="Arial"/>
          <w:sz w:val="20"/>
          <w:szCs w:val="20"/>
          <w:lang w:val="en-IE"/>
        </w:rPr>
        <w:t>C</w:t>
      </w:r>
      <w:r w:rsidRPr="00967A82">
        <w:rPr>
          <w:rFonts w:ascii="Arial" w:hAnsi="Arial" w:cs="Arial"/>
          <w:sz w:val="20"/>
          <w:szCs w:val="20"/>
          <w:lang w:val="en-IE"/>
        </w:rPr>
        <w:t>limate-related risks, rising inequalities and continuous geopolitical tensions</w:t>
      </w:r>
      <w:r w:rsidR="0069760C" w:rsidRPr="00967A82">
        <w:rPr>
          <w:rFonts w:ascii="Arial" w:hAnsi="Arial" w:cs="Arial"/>
          <w:sz w:val="20"/>
          <w:szCs w:val="20"/>
          <w:lang w:val="en-IE"/>
        </w:rPr>
        <w:t xml:space="preserve"> likewise remain</w:t>
      </w:r>
      <w:r w:rsidR="003F210F" w:rsidRPr="00967A82">
        <w:rPr>
          <w:rFonts w:ascii="Arial" w:hAnsi="Arial" w:cs="Arial"/>
          <w:sz w:val="20"/>
          <w:szCs w:val="20"/>
          <w:lang w:val="en-IE"/>
        </w:rPr>
        <w:t>, all of which could</w:t>
      </w:r>
      <w:r w:rsidRPr="00967A82">
        <w:rPr>
          <w:rFonts w:ascii="Arial" w:hAnsi="Arial" w:cs="Arial"/>
          <w:sz w:val="20"/>
          <w:szCs w:val="20"/>
          <w:lang w:val="en-IE"/>
        </w:rPr>
        <w:t xml:space="preserve"> threaten global stability. </w:t>
      </w:r>
      <w:r w:rsidR="00FD07DE" w:rsidRPr="00967A82">
        <w:rPr>
          <w:rFonts w:ascii="Arial" w:hAnsi="Arial" w:cs="Arial"/>
          <w:sz w:val="20"/>
          <w:szCs w:val="20"/>
          <w:lang w:val="en-IE"/>
        </w:rPr>
        <w:t>Embracing disruption to protect existing portfolios and identify new investment opportunities is, therefore, ever more important. Part of this involves capitalising on structural trends that have accelerated as a result of COVID-19.</w:t>
      </w:r>
    </w:p>
    <w:p w14:paraId="06FEE78F" w14:textId="286973C0" w:rsidR="00E83AA0" w:rsidRPr="00967A82" w:rsidRDefault="00E83AA0"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IE"/>
        </w:rPr>
        <w:t xml:space="preserve">Savills IM’s 2021 Outlook </w:t>
      </w:r>
      <w:r w:rsidR="0069760C" w:rsidRPr="00967A82">
        <w:rPr>
          <w:rFonts w:ascii="Arial" w:hAnsi="Arial" w:cs="Arial"/>
          <w:sz w:val="20"/>
          <w:szCs w:val="20"/>
          <w:lang w:val="en-IE"/>
        </w:rPr>
        <w:t>r</w:t>
      </w:r>
      <w:r w:rsidRPr="00967A82">
        <w:rPr>
          <w:rFonts w:ascii="Arial" w:hAnsi="Arial" w:cs="Arial"/>
          <w:sz w:val="20"/>
          <w:szCs w:val="20"/>
          <w:lang w:val="en-IE"/>
        </w:rPr>
        <w:t xml:space="preserve">eport, titled </w:t>
      </w:r>
      <w:r w:rsidR="0069760C" w:rsidRPr="00967A82">
        <w:rPr>
          <w:rFonts w:ascii="Arial" w:hAnsi="Arial" w:cs="Arial"/>
          <w:sz w:val="20"/>
          <w:szCs w:val="20"/>
          <w:lang w:val="en-IE"/>
        </w:rPr>
        <w:t>“</w:t>
      </w:r>
      <w:r w:rsidR="00620A18" w:rsidRPr="00967A82">
        <w:rPr>
          <w:rFonts w:ascii="Arial" w:hAnsi="Arial" w:cs="Arial"/>
          <w:sz w:val="20"/>
          <w:szCs w:val="20"/>
          <w:lang w:val="en-IE"/>
        </w:rPr>
        <w:t>Building resilience in global real estate portfolios</w:t>
      </w:r>
      <w:r w:rsidR="0069760C" w:rsidRPr="00967A82">
        <w:rPr>
          <w:rFonts w:ascii="Arial" w:hAnsi="Arial" w:cs="Arial"/>
          <w:i/>
          <w:iCs/>
          <w:sz w:val="20"/>
          <w:szCs w:val="20"/>
          <w:lang w:val="en-IE"/>
        </w:rPr>
        <w:t>”</w:t>
      </w:r>
      <w:r w:rsidRPr="00967A82">
        <w:rPr>
          <w:rFonts w:ascii="Arial" w:hAnsi="Arial" w:cs="Arial"/>
          <w:sz w:val="20"/>
          <w:szCs w:val="20"/>
          <w:lang w:val="en-IE"/>
        </w:rPr>
        <w:t xml:space="preserve">, </w:t>
      </w:r>
      <w:r w:rsidR="00BC4907" w:rsidRPr="00967A82">
        <w:rPr>
          <w:rFonts w:ascii="Arial" w:hAnsi="Arial" w:cs="Arial"/>
          <w:sz w:val="20"/>
          <w:szCs w:val="20"/>
          <w:lang w:val="en-IE"/>
        </w:rPr>
        <w:t xml:space="preserve">envisages </w:t>
      </w:r>
      <w:r w:rsidR="003F210F" w:rsidRPr="00967A82">
        <w:rPr>
          <w:rFonts w:ascii="Arial" w:hAnsi="Arial" w:cs="Arial"/>
          <w:sz w:val="20"/>
          <w:szCs w:val="20"/>
          <w:lang w:val="en-IE"/>
        </w:rPr>
        <w:t xml:space="preserve">no major </w:t>
      </w:r>
      <w:r w:rsidR="0069760C" w:rsidRPr="00967A82">
        <w:rPr>
          <w:rFonts w:ascii="Arial" w:hAnsi="Arial" w:cs="Arial"/>
          <w:sz w:val="20"/>
          <w:szCs w:val="20"/>
          <w:lang w:val="en-IE"/>
        </w:rPr>
        <w:t xml:space="preserve">demise </w:t>
      </w:r>
      <w:r w:rsidR="003F210F" w:rsidRPr="00967A82">
        <w:rPr>
          <w:rFonts w:ascii="Arial" w:hAnsi="Arial" w:cs="Arial"/>
          <w:sz w:val="20"/>
          <w:szCs w:val="20"/>
          <w:lang w:val="en-IE"/>
        </w:rPr>
        <w:t xml:space="preserve">of the office sector </w:t>
      </w:r>
      <w:r w:rsidR="003F210F" w:rsidRPr="00967A82">
        <w:rPr>
          <w:rFonts w:ascii="Arial" w:hAnsi="Arial" w:cs="Arial"/>
          <w:sz w:val="20"/>
          <w:szCs w:val="20"/>
          <w:lang w:val="en-US"/>
        </w:rPr>
        <w:t>despite</w:t>
      </w:r>
      <w:r w:rsidRPr="00967A82">
        <w:rPr>
          <w:rFonts w:ascii="Arial" w:hAnsi="Arial" w:cs="Arial"/>
          <w:sz w:val="20"/>
          <w:szCs w:val="20"/>
          <w:lang w:val="en-US"/>
        </w:rPr>
        <w:t xml:space="preserve"> the increase in </w:t>
      </w:r>
      <w:r w:rsidR="0069760C" w:rsidRPr="00967A82">
        <w:rPr>
          <w:rFonts w:ascii="Arial" w:hAnsi="Arial" w:cs="Arial"/>
          <w:sz w:val="20"/>
          <w:szCs w:val="20"/>
          <w:lang w:val="en-US"/>
        </w:rPr>
        <w:t xml:space="preserve">agile </w:t>
      </w:r>
      <w:r w:rsidRPr="00967A82">
        <w:rPr>
          <w:rFonts w:ascii="Arial" w:hAnsi="Arial" w:cs="Arial"/>
          <w:sz w:val="20"/>
          <w:szCs w:val="20"/>
          <w:lang w:val="en-US"/>
        </w:rPr>
        <w:t xml:space="preserve">working </w:t>
      </w:r>
      <w:r w:rsidR="0069760C" w:rsidRPr="00967A82">
        <w:rPr>
          <w:rFonts w:ascii="Arial" w:hAnsi="Arial" w:cs="Arial"/>
          <w:sz w:val="20"/>
          <w:szCs w:val="20"/>
          <w:lang w:val="en-US"/>
        </w:rPr>
        <w:t>driven by</w:t>
      </w:r>
      <w:r w:rsidRPr="00967A82">
        <w:rPr>
          <w:rFonts w:ascii="Arial" w:hAnsi="Arial" w:cs="Arial"/>
          <w:sz w:val="20"/>
          <w:szCs w:val="20"/>
          <w:lang w:val="en-US"/>
        </w:rPr>
        <w:t xml:space="preserve"> the pandemic</w:t>
      </w:r>
      <w:r w:rsidR="003F210F" w:rsidRPr="00967A82">
        <w:rPr>
          <w:rFonts w:ascii="Arial" w:hAnsi="Arial" w:cs="Arial"/>
          <w:sz w:val="20"/>
          <w:szCs w:val="20"/>
          <w:lang w:val="en-US"/>
        </w:rPr>
        <w:t>.</w:t>
      </w:r>
      <w:r w:rsidR="0069760C" w:rsidRPr="00967A82">
        <w:rPr>
          <w:rFonts w:ascii="Arial" w:hAnsi="Arial" w:cs="Arial"/>
          <w:sz w:val="20"/>
          <w:szCs w:val="20"/>
          <w:lang w:val="en-US"/>
        </w:rPr>
        <w:t xml:space="preserve"> </w:t>
      </w:r>
      <w:r w:rsidR="003F210F" w:rsidRPr="00967A82">
        <w:rPr>
          <w:rFonts w:ascii="Arial" w:hAnsi="Arial" w:cs="Arial"/>
          <w:sz w:val="20"/>
          <w:szCs w:val="20"/>
          <w:lang w:val="en-US"/>
        </w:rPr>
        <w:t>O</w:t>
      </w:r>
      <w:r w:rsidRPr="00967A82">
        <w:rPr>
          <w:rFonts w:ascii="Arial" w:hAnsi="Arial" w:cs="Arial"/>
          <w:sz w:val="20"/>
          <w:szCs w:val="20"/>
          <w:lang w:val="en-US"/>
        </w:rPr>
        <w:t>ffices in CBD locations with good transport links are here to stay while the resilient income streams of food retail assets represent a strong buy for core/core</w:t>
      </w:r>
      <w:r w:rsidR="0069760C" w:rsidRPr="00967A82">
        <w:rPr>
          <w:rFonts w:ascii="Arial" w:hAnsi="Arial" w:cs="Arial"/>
          <w:sz w:val="20"/>
          <w:szCs w:val="20"/>
          <w:lang w:val="en-US"/>
        </w:rPr>
        <w:t>-plus</w:t>
      </w:r>
      <w:r w:rsidRPr="00967A82">
        <w:rPr>
          <w:rFonts w:ascii="Arial" w:hAnsi="Arial" w:cs="Arial"/>
          <w:sz w:val="20"/>
          <w:szCs w:val="20"/>
          <w:lang w:val="en-US"/>
        </w:rPr>
        <w:t xml:space="preserve"> investors. Logistics</w:t>
      </w:r>
      <w:r w:rsidR="00620A18" w:rsidRPr="00967A82">
        <w:rPr>
          <w:rFonts w:ascii="Arial" w:hAnsi="Arial" w:cs="Arial"/>
          <w:sz w:val="20"/>
          <w:szCs w:val="20"/>
          <w:lang w:val="en-US"/>
        </w:rPr>
        <w:t xml:space="preserve">, which has been a clear winner </w:t>
      </w:r>
      <w:r w:rsidR="0069760C" w:rsidRPr="00967A82">
        <w:rPr>
          <w:rFonts w:ascii="Arial" w:hAnsi="Arial" w:cs="Arial"/>
          <w:sz w:val="20"/>
          <w:szCs w:val="20"/>
          <w:lang w:val="en-US"/>
        </w:rPr>
        <w:t xml:space="preserve">throughout </w:t>
      </w:r>
      <w:r w:rsidR="00620A18" w:rsidRPr="00967A82">
        <w:rPr>
          <w:rFonts w:ascii="Arial" w:hAnsi="Arial" w:cs="Arial"/>
          <w:sz w:val="20"/>
          <w:szCs w:val="20"/>
          <w:lang w:val="en-US"/>
        </w:rPr>
        <w:t>the pandemic because of the increase in online shopping, will continue to be</w:t>
      </w:r>
      <w:r w:rsidRPr="00967A82">
        <w:rPr>
          <w:rFonts w:ascii="Arial" w:hAnsi="Arial" w:cs="Arial"/>
          <w:sz w:val="20"/>
          <w:szCs w:val="20"/>
          <w:lang w:val="en-US"/>
        </w:rPr>
        <w:t xml:space="preserve"> </w:t>
      </w:r>
      <w:r w:rsidR="00620A18" w:rsidRPr="00967A82">
        <w:rPr>
          <w:rFonts w:ascii="Arial" w:hAnsi="Arial" w:cs="Arial"/>
          <w:sz w:val="20"/>
          <w:szCs w:val="20"/>
          <w:lang w:val="en-US"/>
        </w:rPr>
        <w:t>b</w:t>
      </w:r>
      <w:r w:rsidRPr="00967A82">
        <w:rPr>
          <w:rFonts w:ascii="Arial" w:hAnsi="Arial" w:cs="Arial"/>
          <w:sz w:val="20"/>
          <w:szCs w:val="20"/>
          <w:lang w:val="en-US"/>
        </w:rPr>
        <w:t xml:space="preserve">acked by solid fundamentals and structural tailwinds, </w:t>
      </w:r>
      <w:r w:rsidR="00620A18" w:rsidRPr="00967A82">
        <w:rPr>
          <w:rFonts w:ascii="Arial" w:hAnsi="Arial" w:cs="Arial"/>
          <w:sz w:val="20"/>
          <w:szCs w:val="20"/>
          <w:lang w:val="en-US"/>
        </w:rPr>
        <w:t xml:space="preserve">the report </w:t>
      </w:r>
      <w:proofErr w:type="spellStart"/>
      <w:r w:rsidR="0069760C" w:rsidRPr="00967A82">
        <w:rPr>
          <w:rFonts w:ascii="Arial" w:hAnsi="Arial" w:cs="Arial"/>
          <w:sz w:val="20"/>
          <w:szCs w:val="20"/>
          <w:lang w:val="en-US"/>
        </w:rPr>
        <w:t>emphasises</w:t>
      </w:r>
      <w:proofErr w:type="spellEnd"/>
      <w:r w:rsidRPr="00967A82">
        <w:rPr>
          <w:rFonts w:ascii="Arial" w:hAnsi="Arial" w:cs="Arial"/>
          <w:sz w:val="20"/>
          <w:szCs w:val="20"/>
          <w:lang w:val="en-US"/>
        </w:rPr>
        <w:t>.</w:t>
      </w:r>
      <w:r w:rsidR="002E47DF" w:rsidRPr="00967A82">
        <w:rPr>
          <w:rFonts w:ascii="Arial" w:hAnsi="Arial" w:cs="Arial"/>
          <w:sz w:val="20"/>
          <w:szCs w:val="20"/>
          <w:lang w:val="en-US"/>
        </w:rPr>
        <w:t xml:space="preserve"> </w:t>
      </w:r>
      <w:r w:rsidR="0069760C" w:rsidRPr="00967A82">
        <w:rPr>
          <w:rFonts w:ascii="Arial" w:hAnsi="Arial" w:cs="Arial"/>
          <w:sz w:val="20"/>
          <w:szCs w:val="20"/>
          <w:lang w:val="en-US"/>
        </w:rPr>
        <w:t>But w</w:t>
      </w:r>
      <w:r w:rsidR="002E47DF" w:rsidRPr="00967A82">
        <w:rPr>
          <w:rFonts w:ascii="Arial" w:hAnsi="Arial" w:cs="Arial"/>
          <w:sz w:val="20"/>
          <w:szCs w:val="20"/>
          <w:lang w:val="en-US"/>
        </w:rPr>
        <w:t>ith returns on traditional property assets – office, industrial and retail – low, investors are</w:t>
      </w:r>
      <w:r w:rsidR="0069760C" w:rsidRPr="00967A82">
        <w:rPr>
          <w:rFonts w:ascii="Arial" w:hAnsi="Arial" w:cs="Arial"/>
          <w:sz w:val="20"/>
          <w:szCs w:val="20"/>
          <w:lang w:val="en-US"/>
        </w:rPr>
        <w:t xml:space="preserve"> also</w:t>
      </w:r>
      <w:r w:rsidR="002E47DF" w:rsidRPr="00967A82">
        <w:rPr>
          <w:rFonts w:ascii="Arial" w:hAnsi="Arial" w:cs="Arial"/>
          <w:sz w:val="20"/>
          <w:szCs w:val="20"/>
          <w:lang w:val="en-US"/>
        </w:rPr>
        <w:t xml:space="preserve"> looking to alternative</w:t>
      </w:r>
      <w:r w:rsidR="003F210F" w:rsidRPr="00967A82">
        <w:rPr>
          <w:rFonts w:ascii="Arial" w:hAnsi="Arial" w:cs="Arial"/>
          <w:sz w:val="20"/>
          <w:szCs w:val="20"/>
          <w:lang w:val="en-US"/>
        </w:rPr>
        <w:t xml:space="preserve"> sectors</w:t>
      </w:r>
      <w:r w:rsidR="000C7B9E" w:rsidRPr="00967A82">
        <w:rPr>
          <w:rFonts w:ascii="Arial" w:hAnsi="Arial" w:cs="Arial"/>
          <w:sz w:val="20"/>
          <w:szCs w:val="20"/>
          <w:lang w:val="en-US"/>
        </w:rPr>
        <w:t xml:space="preserve"> such as </w:t>
      </w:r>
      <w:r w:rsidR="00540563" w:rsidRPr="00967A82">
        <w:rPr>
          <w:rFonts w:ascii="Arial" w:hAnsi="Arial" w:cs="Arial"/>
          <w:sz w:val="20"/>
          <w:szCs w:val="20"/>
          <w:lang w:val="en-US"/>
        </w:rPr>
        <w:t xml:space="preserve">student housing, </w:t>
      </w:r>
      <w:r w:rsidR="00F80210" w:rsidRPr="00967A82">
        <w:rPr>
          <w:rFonts w:ascii="Arial" w:hAnsi="Arial" w:cs="Arial"/>
          <w:sz w:val="20"/>
          <w:szCs w:val="20"/>
          <w:lang w:val="en-US"/>
        </w:rPr>
        <w:t xml:space="preserve">build-to-rent </w:t>
      </w:r>
      <w:r w:rsidR="008B47D1" w:rsidRPr="00967A82">
        <w:rPr>
          <w:rFonts w:ascii="Arial" w:hAnsi="Arial" w:cs="Arial"/>
          <w:sz w:val="20"/>
          <w:szCs w:val="20"/>
          <w:lang w:val="en-US"/>
        </w:rPr>
        <w:t xml:space="preserve">accommodation and </w:t>
      </w:r>
      <w:r w:rsidR="00AF60ED" w:rsidRPr="00967A82">
        <w:rPr>
          <w:rFonts w:ascii="Arial" w:hAnsi="Arial" w:cs="Arial"/>
          <w:sz w:val="20"/>
          <w:szCs w:val="20"/>
          <w:lang w:val="en-US"/>
        </w:rPr>
        <w:t xml:space="preserve">senior living. </w:t>
      </w:r>
    </w:p>
    <w:p w14:paraId="5B491EB1" w14:textId="073B85BA" w:rsidR="00967A82" w:rsidRPr="00967A82" w:rsidRDefault="00255240"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IE"/>
        </w:rPr>
        <w:t>N</w:t>
      </w:r>
      <w:r w:rsidR="00F05720" w:rsidRPr="00967A82">
        <w:rPr>
          <w:rFonts w:ascii="Arial" w:hAnsi="Arial" w:cs="Arial"/>
          <w:sz w:val="20"/>
          <w:szCs w:val="20"/>
          <w:lang w:val="en-IE"/>
        </w:rPr>
        <w:t>ew research</w:t>
      </w:r>
      <w:r w:rsidRPr="00967A82">
        <w:rPr>
          <w:rFonts w:ascii="Arial" w:hAnsi="Arial" w:cs="Arial"/>
          <w:sz w:val="20"/>
          <w:szCs w:val="20"/>
          <w:vertAlign w:val="superscript"/>
          <w:lang w:val="en-IE"/>
        </w:rPr>
        <w:t>1</w:t>
      </w:r>
      <w:r w:rsidR="00F05720" w:rsidRPr="00967A82">
        <w:rPr>
          <w:rFonts w:ascii="Arial" w:hAnsi="Arial" w:cs="Arial"/>
          <w:sz w:val="20"/>
          <w:szCs w:val="20"/>
          <w:lang w:val="en-IE"/>
        </w:rPr>
        <w:t xml:space="preserve"> </w:t>
      </w:r>
      <w:r w:rsidR="00620A18" w:rsidRPr="00967A82">
        <w:rPr>
          <w:rFonts w:ascii="Arial" w:hAnsi="Arial" w:cs="Arial"/>
          <w:sz w:val="20"/>
          <w:szCs w:val="20"/>
          <w:lang w:val="en-IE"/>
        </w:rPr>
        <w:t>included in the report shows</w:t>
      </w:r>
      <w:r w:rsidR="0069760C" w:rsidRPr="00967A82">
        <w:rPr>
          <w:rFonts w:ascii="Arial" w:hAnsi="Arial" w:cs="Arial"/>
          <w:sz w:val="20"/>
          <w:szCs w:val="20"/>
          <w:lang w:val="en-IE"/>
        </w:rPr>
        <w:t xml:space="preserve"> that</w:t>
      </w:r>
      <w:r w:rsidR="00620A18" w:rsidRPr="00967A82">
        <w:rPr>
          <w:rFonts w:ascii="Arial" w:hAnsi="Arial" w:cs="Arial"/>
          <w:sz w:val="20"/>
          <w:szCs w:val="20"/>
          <w:lang w:val="en-IE"/>
        </w:rPr>
        <w:t xml:space="preserve"> </w:t>
      </w:r>
      <w:r w:rsidR="00B94F2C" w:rsidRPr="00967A82">
        <w:rPr>
          <w:rFonts w:ascii="Arial" w:hAnsi="Arial" w:cs="Arial"/>
          <w:sz w:val="20"/>
          <w:szCs w:val="20"/>
          <w:lang w:val="en-IE"/>
        </w:rPr>
        <w:t xml:space="preserve">59% </w:t>
      </w:r>
      <w:r w:rsidR="001D0BC5" w:rsidRPr="00967A82">
        <w:rPr>
          <w:rFonts w:ascii="Arial" w:hAnsi="Arial" w:cs="Arial"/>
          <w:sz w:val="20"/>
          <w:szCs w:val="20"/>
          <w:lang w:val="en-IE"/>
        </w:rPr>
        <w:t xml:space="preserve">of real estate investors globally expect real estate markets in Europe </w:t>
      </w:r>
      <w:r w:rsidR="00B94F2C" w:rsidRPr="00967A82">
        <w:rPr>
          <w:rFonts w:ascii="Arial" w:hAnsi="Arial" w:cs="Arial"/>
          <w:sz w:val="20"/>
          <w:szCs w:val="20"/>
          <w:lang w:val="en-IE"/>
        </w:rPr>
        <w:t xml:space="preserve">to recover </w:t>
      </w:r>
      <w:r w:rsidR="00A07BFB" w:rsidRPr="00967A82">
        <w:rPr>
          <w:rFonts w:ascii="Arial" w:hAnsi="Arial" w:cs="Arial"/>
          <w:sz w:val="20"/>
          <w:szCs w:val="20"/>
          <w:lang w:val="en-IE"/>
        </w:rPr>
        <w:t xml:space="preserve">in 2021, with </w:t>
      </w:r>
      <w:r w:rsidR="00B94F2C" w:rsidRPr="00967A82">
        <w:rPr>
          <w:rFonts w:ascii="Arial" w:hAnsi="Arial" w:cs="Arial"/>
          <w:sz w:val="20"/>
          <w:szCs w:val="20"/>
          <w:lang w:val="en-IE"/>
        </w:rPr>
        <w:t xml:space="preserve">just over half (52%) </w:t>
      </w:r>
      <w:r w:rsidR="00A07BFB" w:rsidRPr="00967A82">
        <w:rPr>
          <w:rFonts w:ascii="Arial" w:hAnsi="Arial" w:cs="Arial"/>
          <w:sz w:val="20"/>
          <w:szCs w:val="20"/>
          <w:lang w:val="en-IE"/>
        </w:rPr>
        <w:t xml:space="preserve">expecting the </w:t>
      </w:r>
      <w:r w:rsidR="001D0BC5" w:rsidRPr="00967A82">
        <w:rPr>
          <w:rFonts w:ascii="Arial" w:hAnsi="Arial" w:cs="Arial"/>
          <w:sz w:val="20"/>
          <w:szCs w:val="20"/>
          <w:lang w:val="en-IE"/>
        </w:rPr>
        <w:t>recover</w:t>
      </w:r>
      <w:r w:rsidR="00A07BFB" w:rsidRPr="00967A82">
        <w:rPr>
          <w:rFonts w:ascii="Arial" w:hAnsi="Arial" w:cs="Arial"/>
          <w:sz w:val="20"/>
          <w:szCs w:val="20"/>
          <w:lang w:val="en-IE"/>
        </w:rPr>
        <w:t>y to begin</w:t>
      </w:r>
      <w:r w:rsidR="001D0BC5" w:rsidRPr="00967A82">
        <w:rPr>
          <w:rFonts w:ascii="Arial" w:hAnsi="Arial" w:cs="Arial"/>
          <w:sz w:val="20"/>
          <w:szCs w:val="20"/>
          <w:lang w:val="en-IE"/>
        </w:rPr>
        <w:t xml:space="preserve"> between Q2 and Q4 next year. </w:t>
      </w:r>
      <w:r w:rsidR="001D0BC5" w:rsidRPr="00967A82">
        <w:rPr>
          <w:rFonts w:ascii="Arial" w:hAnsi="Arial" w:cs="Arial"/>
          <w:sz w:val="20"/>
          <w:szCs w:val="20"/>
          <w:lang w:val="en-US"/>
        </w:rPr>
        <w:t>Some 45% of investors expect that real estate investment will increase over the next 12 months</w:t>
      </w:r>
      <w:r w:rsidR="0069760C" w:rsidRPr="00967A82">
        <w:rPr>
          <w:rFonts w:ascii="Arial" w:hAnsi="Arial" w:cs="Arial"/>
          <w:sz w:val="20"/>
          <w:szCs w:val="20"/>
          <w:lang w:val="en-US"/>
        </w:rPr>
        <w:t>,</w:t>
      </w:r>
      <w:r w:rsidR="001D0BC5" w:rsidRPr="00967A82">
        <w:rPr>
          <w:rFonts w:ascii="Arial" w:hAnsi="Arial" w:cs="Arial"/>
          <w:sz w:val="20"/>
          <w:szCs w:val="20"/>
          <w:lang w:val="en-US"/>
        </w:rPr>
        <w:t xml:space="preserve"> and 25% expect investment </w:t>
      </w:r>
      <w:r w:rsidR="00967D55" w:rsidRPr="00967A82">
        <w:rPr>
          <w:rFonts w:ascii="Arial" w:hAnsi="Arial" w:cs="Arial"/>
          <w:sz w:val="20"/>
          <w:szCs w:val="20"/>
          <w:lang w:val="en-US"/>
        </w:rPr>
        <w:t xml:space="preserve">levels </w:t>
      </w:r>
      <w:r w:rsidR="00967A82">
        <w:rPr>
          <w:rFonts w:ascii="Arial" w:hAnsi="Arial" w:cs="Arial"/>
          <w:sz w:val="20"/>
          <w:szCs w:val="20"/>
          <w:lang w:val="en-US"/>
        </w:rPr>
        <w:t>to stay the same</w:t>
      </w:r>
    </w:p>
    <w:p w14:paraId="22907C40" w14:textId="30D695DE" w:rsidR="004E2724" w:rsidRPr="00967A82" w:rsidRDefault="004E2724" w:rsidP="00967A82">
      <w:pPr>
        <w:spacing w:before="100" w:beforeAutospacing="1" w:afterLines="60" w:after="144" w:line="360" w:lineRule="auto"/>
        <w:jc w:val="both"/>
        <w:rPr>
          <w:rFonts w:ascii="Arial" w:hAnsi="Arial" w:cs="Arial"/>
          <w:b/>
          <w:bCs/>
          <w:sz w:val="20"/>
          <w:szCs w:val="20"/>
          <w:lang w:val="en-US"/>
        </w:rPr>
      </w:pPr>
      <w:r w:rsidRPr="00967A82">
        <w:rPr>
          <w:rFonts w:ascii="Arial" w:hAnsi="Arial" w:cs="Arial"/>
          <w:b/>
          <w:bCs/>
          <w:sz w:val="20"/>
          <w:szCs w:val="20"/>
          <w:lang w:val="en-US"/>
        </w:rPr>
        <w:t>Andreas Trumpp, Head of Research, Europe, Savills IM, commented:</w:t>
      </w:r>
    </w:p>
    <w:p w14:paraId="037595C6" w14:textId="596EC841" w:rsidR="00356E53" w:rsidRPr="00967A82" w:rsidRDefault="004E2724"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w:t>
      </w:r>
      <w:r w:rsidR="00967D55" w:rsidRPr="00967A82">
        <w:rPr>
          <w:rFonts w:ascii="Arial" w:hAnsi="Arial" w:cs="Arial"/>
          <w:sz w:val="20"/>
          <w:szCs w:val="20"/>
          <w:lang w:val="en-US"/>
        </w:rPr>
        <w:t>Our research shows that real estate investors are confident about 2021</w:t>
      </w:r>
      <w:r w:rsidR="0069760C" w:rsidRPr="00967A82">
        <w:rPr>
          <w:rFonts w:ascii="Arial" w:hAnsi="Arial" w:cs="Arial"/>
          <w:sz w:val="20"/>
          <w:szCs w:val="20"/>
          <w:lang w:val="en-US"/>
        </w:rPr>
        <w:t>,</w:t>
      </w:r>
      <w:r w:rsidR="00967D55" w:rsidRPr="00967A82">
        <w:rPr>
          <w:rFonts w:ascii="Arial" w:hAnsi="Arial" w:cs="Arial"/>
          <w:sz w:val="20"/>
          <w:szCs w:val="20"/>
          <w:lang w:val="en-US"/>
        </w:rPr>
        <w:t xml:space="preserve"> and recent positive announcements about the availability of </w:t>
      </w:r>
      <w:r w:rsidR="00356E53" w:rsidRPr="00967A82">
        <w:rPr>
          <w:rFonts w:ascii="Arial" w:hAnsi="Arial" w:cs="Arial"/>
          <w:sz w:val="20"/>
          <w:szCs w:val="20"/>
          <w:lang w:val="en-US"/>
        </w:rPr>
        <w:t xml:space="preserve">a </w:t>
      </w:r>
      <w:r w:rsidR="00967D55" w:rsidRPr="00967A82">
        <w:rPr>
          <w:rFonts w:ascii="Arial" w:hAnsi="Arial" w:cs="Arial"/>
          <w:sz w:val="20"/>
          <w:szCs w:val="20"/>
          <w:lang w:val="en-US"/>
        </w:rPr>
        <w:t xml:space="preserve">vaccine </w:t>
      </w:r>
      <w:r w:rsidR="00356E53" w:rsidRPr="00967A82">
        <w:rPr>
          <w:rFonts w:ascii="Arial" w:hAnsi="Arial" w:cs="Arial"/>
          <w:sz w:val="20"/>
          <w:szCs w:val="20"/>
          <w:lang w:val="en-US"/>
        </w:rPr>
        <w:t>could certainly accelerate the recovery, boost sentiment and help cross-border investments to flow again.</w:t>
      </w:r>
    </w:p>
    <w:p w14:paraId="5B216F76" w14:textId="708A4A7E" w:rsidR="00967D55" w:rsidRPr="00967A82" w:rsidRDefault="00356E53"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lastRenderedPageBreak/>
        <w:t>“</w:t>
      </w:r>
      <w:r w:rsidR="008169E7" w:rsidRPr="00967A82">
        <w:rPr>
          <w:rFonts w:ascii="Arial" w:hAnsi="Arial" w:cs="Arial"/>
          <w:sz w:val="20"/>
          <w:szCs w:val="20"/>
          <w:lang w:val="en-US"/>
        </w:rPr>
        <w:t>The pandemic</w:t>
      </w:r>
      <w:r w:rsidR="00967D55" w:rsidRPr="00967A82">
        <w:rPr>
          <w:rFonts w:ascii="Arial" w:hAnsi="Arial" w:cs="Arial"/>
          <w:sz w:val="20"/>
          <w:szCs w:val="20"/>
          <w:lang w:val="en-US"/>
        </w:rPr>
        <w:t xml:space="preserve"> has clearly </w:t>
      </w:r>
      <w:r w:rsidR="008169E7" w:rsidRPr="00967A82">
        <w:rPr>
          <w:rFonts w:ascii="Arial" w:hAnsi="Arial" w:cs="Arial"/>
          <w:sz w:val="20"/>
          <w:szCs w:val="20"/>
          <w:lang w:val="en-US"/>
        </w:rPr>
        <w:t xml:space="preserve">caused </w:t>
      </w:r>
      <w:r w:rsidR="00AB33C9" w:rsidRPr="00967A82">
        <w:rPr>
          <w:rFonts w:ascii="Arial" w:hAnsi="Arial" w:cs="Arial"/>
          <w:sz w:val="20"/>
          <w:szCs w:val="20"/>
          <w:lang w:val="en-US"/>
        </w:rPr>
        <w:t>multiple disruptions in the economy and the commercial real estate markets</w:t>
      </w:r>
      <w:r w:rsidR="0069760C" w:rsidRPr="00967A82">
        <w:rPr>
          <w:rFonts w:ascii="Arial" w:hAnsi="Arial" w:cs="Arial"/>
          <w:sz w:val="20"/>
          <w:szCs w:val="20"/>
          <w:lang w:val="en-US"/>
        </w:rPr>
        <w:t>.</w:t>
      </w:r>
      <w:r w:rsidR="00AB33C9" w:rsidRPr="00967A82">
        <w:rPr>
          <w:rFonts w:ascii="Arial" w:hAnsi="Arial" w:cs="Arial"/>
          <w:sz w:val="20"/>
          <w:szCs w:val="20"/>
          <w:lang w:val="en-US"/>
        </w:rPr>
        <w:t xml:space="preserve"> </w:t>
      </w:r>
      <w:r w:rsidR="0069760C" w:rsidRPr="00967A82">
        <w:rPr>
          <w:rFonts w:ascii="Arial" w:hAnsi="Arial" w:cs="Arial"/>
          <w:sz w:val="20"/>
          <w:szCs w:val="20"/>
          <w:lang w:val="en-US"/>
        </w:rPr>
        <w:t>Nevertheless,</w:t>
      </w:r>
      <w:r w:rsidR="008169E7" w:rsidRPr="00967A82">
        <w:rPr>
          <w:rFonts w:ascii="Arial" w:hAnsi="Arial" w:cs="Arial"/>
          <w:sz w:val="20"/>
          <w:szCs w:val="20"/>
          <w:lang w:val="en-US"/>
        </w:rPr>
        <w:t xml:space="preserve"> in seeking new opportunities, investors should embrace the structural trends that have accelerated because of COVID-19.</w:t>
      </w:r>
      <w:r w:rsidRPr="00967A82">
        <w:rPr>
          <w:rFonts w:ascii="Arial" w:hAnsi="Arial" w:cs="Arial"/>
          <w:sz w:val="20"/>
          <w:szCs w:val="20"/>
          <w:lang w:val="en-US"/>
        </w:rPr>
        <w:t>”</w:t>
      </w:r>
    </w:p>
    <w:p w14:paraId="188FFE8E" w14:textId="77777777" w:rsidR="00FC57CF" w:rsidRPr="00967A82" w:rsidRDefault="00FC57CF" w:rsidP="00967A82">
      <w:pPr>
        <w:spacing w:afterLines="60" w:after="144" w:line="360" w:lineRule="auto"/>
        <w:ind w:right="283"/>
        <w:jc w:val="both"/>
        <w:rPr>
          <w:rFonts w:ascii="Arial" w:hAnsi="Arial" w:cs="Arial"/>
          <w:b/>
          <w:bCs/>
          <w:sz w:val="20"/>
          <w:szCs w:val="20"/>
          <w:lang w:val="en-US" w:eastAsia="en-US"/>
        </w:rPr>
      </w:pPr>
      <w:r w:rsidRPr="00967A82">
        <w:rPr>
          <w:rFonts w:ascii="Arial" w:hAnsi="Arial" w:cs="Arial"/>
          <w:b/>
          <w:bCs/>
          <w:sz w:val="20"/>
          <w:szCs w:val="20"/>
          <w:lang w:val="en-US" w:eastAsia="en-US"/>
        </w:rPr>
        <w:t>Poland</w:t>
      </w:r>
    </w:p>
    <w:p w14:paraId="6725573D" w14:textId="77777777" w:rsidR="00FC57CF" w:rsidRPr="00967A82" w:rsidRDefault="00FC57CF" w:rsidP="00967A82">
      <w:pPr>
        <w:spacing w:afterLines="60" w:after="144" w:line="360" w:lineRule="auto"/>
        <w:ind w:right="283"/>
        <w:jc w:val="both"/>
        <w:rPr>
          <w:rFonts w:ascii="Arial" w:hAnsi="Arial" w:cs="Arial"/>
          <w:sz w:val="20"/>
          <w:szCs w:val="20"/>
          <w:lang w:val="en-US" w:eastAsia="en-US"/>
        </w:rPr>
      </w:pPr>
      <w:r w:rsidRPr="00967A82">
        <w:rPr>
          <w:rFonts w:ascii="Arial" w:hAnsi="Arial" w:cs="Arial"/>
          <w:sz w:val="20"/>
          <w:szCs w:val="20"/>
        </w:rPr>
        <w:t>Mid- to long-term prospects for Poland’s commercial real estate market remain positive as the fundamental drivers of the country’s economic success story remain intact. Above-average infrastructure spending, foreign direct investments, domestic demand growth and economic competitiveness continue to underlie the attractiveness of the real estate market in Poland</w:t>
      </w:r>
      <w:r w:rsidRPr="00967A82">
        <w:rPr>
          <w:rFonts w:ascii="Arial" w:hAnsi="Arial" w:cs="Arial"/>
          <w:sz w:val="20"/>
          <w:szCs w:val="20"/>
          <w:lang w:val="en-US" w:eastAsia="en-US"/>
        </w:rPr>
        <w:t xml:space="preserve">. </w:t>
      </w:r>
    </w:p>
    <w:p w14:paraId="1E90AE35" w14:textId="77777777" w:rsidR="00FC57CF" w:rsidRPr="00967A82" w:rsidRDefault="00FC57CF" w:rsidP="00967A82">
      <w:pPr>
        <w:spacing w:afterLines="60" w:after="144" w:line="360" w:lineRule="auto"/>
        <w:ind w:right="283"/>
        <w:jc w:val="both"/>
        <w:rPr>
          <w:rFonts w:ascii="Arial" w:hAnsi="Arial" w:cs="Arial"/>
          <w:bCs/>
          <w:sz w:val="20"/>
          <w:szCs w:val="20"/>
          <w:lang w:val="en-US" w:eastAsia="en-US"/>
        </w:rPr>
      </w:pPr>
      <w:r w:rsidRPr="00967A82">
        <w:rPr>
          <w:rFonts w:ascii="Arial" w:hAnsi="Arial" w:cs="Arial"/>
          <w:sz w:val="20"/>
          <w:szCs w:val="20"/>
        </w:rPr>
        <w:t>Poland remains one of the most sought-after logistics markets in Europe. Despite the pandemic, a high degree of liquidity and popularity is fuelling transaction volumes and is keeping pricing of warehouse facilities keen or stable.</w:t>
      </w:r>
      <w:r w:rsidRPr="00967A82">
        <w:rPr>
          <w:rFonts w:ascii="Arial" w:hAnsi="Arial" w:cs="Arial"/>
          <w:sz w:val="20"/>
          <w:szCs w:val="20"/>
          <w:lang w:val="en-US" w:eastAsia="en-US"/>
        </w:rPr>
        <w:t xml:space="preserve"> </w:t>
      </w:r>
      <w:r w:rsidRPr="00967A82">
        <w:rPr>
          <w:rFonts w:ascii="Arial" w:hAnsi="Arial" w:cs="Arial"/>
          <w:sz w:val="20"/>
          <w:szCs w:val="20"/>
          <w:lang w:val="en-US"/>
        </w:rPr>
        <w:t>Given stable occupier demand, the supply-side risk is moderate.</w:t>
      </w:r>
      <w:r w:rsidRPr="00967A82">
        <w:rPr>
          <w:rFonts w:ascii="Arial" w:hAnsi="Arial" w:cs="Arial"/>
          <w:sz w:val="20"/>
          <w:szCs w:val="20"/>
        </w:rPr>
        <w:t xml:space="preserve"> Investors on the Polish market are increasingly joining up with developers in forward </w:t>
      </w:r>
      <w:proofErr w:type="spellStart"/>
      <w:r w:rsidRPr="00967A82">
        <w:rPr>
          <w:rFonts w:ascii="Arial" w:hAnsi="Arial" w:cs="Arial"/>
          <w:sz w:val="20"/>
          <w:szCs w:val="20"/>
        </w:rPr>
        <w:t>fundings</w:t>
      </w:r>
      <w:proofErr w:type="spellEnd"/>
      <w:r w:rsidRPr="00967A82">
        <w:rPr>
          <w:rFonts w:ascii="Arial" w:hAnsi="Arial" w:cs="Arial"/>
          <w:sz w:val="20"/>
          <w:szCs w:val="20"/>
        </w:rPr>
        <w:t xml:space="preserve"> to secure assets</w:t>
      </w:r>
      <w:r w:rsidRPr="00967A82">
        <w:rPr>
          <w:rFonts w:ascii="Arial" w:hAnsi="Arial" w:cs="Arial"/>
          <w:bCs/>
          <w:sz w:val="20"/>
          <w:szCs w:val="20"/>
          <w:lang w:val="en-US" w:eastAsia="en-US"/>
        </w:rPr>
        <w:t>. Savills IM expects this trend to keep up in the coming months. Moreover, owing to the development of infrastructure and transport links, the markets of northern, western and eastern Poland will gain in importance. Savills IM also expects the progressive specialization of investors in dedicated logistics strategies.</w:t>
      </w:r>
    </w:p>
    <w:p w14:paraId="2F77E213" w14:textId="77777777" w:rsidR="00FC57CF" w:rsidRPr="00967A82" w:rsidRDefault="00FC57CF" w:rsidP="00967A82">
      <w:pPr>
        <w:spacing w:afterLines="60" w:after="144" w:line="360" w:lineRule="auto"/>
        <w:ind w:right="283"/>
        <w:jc w:val="both"/>
        <w:rPr>
          <w:rFonts w:ascii="Arial" w:hAnsi="Arial" w:cs="Arial"/>
          <w:bCs/>
          <w:sz w:val="20"/>
          <w:szCs w:val="20"/>
          <w:lang w:val="en-US" w:eastAsia="en-US"/>
        </w:rPr>
      </w:pPr>
      <w:r w:rsidRPr="00967A82">
        <w:rPr>
          <w:rFonts w:ascii="Arial" w:hAnsi="Arial" w:cs="Arial"/>
          <w:bCs/>
          <w:sz w:val="20"/>
          <w:szCs w:val="20"/>
          <w:lang w:val="en-US" w:eastAsia="en-US"/>
        </w:rPr>
        <w:t xml:space="preserve">On the other hand, the office market, as in other countries, is facing the challenges caused by the pandemic. The expected weaker occupier demand, the tenants’ reluctance to enter into long-term contractual obligations under conditions of uncertainty about the future work model, the impact of the pandemic on rent stability, competition from subleases or growing incentive packages will affect the levels of return from this asset class in the short term. However, fundamental factors, including </w:t>
      </w:r>
      <w:proofErr w:type="spellStart"/>
      <w:r w:rsidRPr="00967A82">
        <w:rPr>
          <w:rFonts w:ascii="Arial" w:hAnsi="Arial" w:cs="Arial"/>
          <w:bCs/>
          <w:sz w:val="20"/>
          <w:szCs w:val="20"/>
          <w:lang w:val="en-US" w:eastAsia="en-US"/>
        </w:rPr>
        <w:t>labour</w:t>
      </w:r>
      <w:proofErr w:type="spellEnd"/>
      <w:r w:rsidRPr="00967A82">
        <w:rPr>
          <w:rFonts w:ascii="Arial" w:hAnsi="Arial" w:cs="Arial"/>
          <w:bCs/>
          <w:sz w:val="20"/>
          <w:szCs w:val="20"/>
          <w:lang w:val="en-US" w:eastAsia="en-US"/>
        </w:rPr>
        <w:t xml:space="preserve"> costs, </w:t>
      </w:r>
      <w:r w:rsidRPr="00967A82">
        <w:rPr>
          <w:rFonts w:ascii="Arial" w:hAnsi="Arial" w:cs="Arial"/>
          <w:sz w:val="20"/>
          <w:szCs w:val="20"/>
        </w:rPr>
        <w:t>remain more appealing in Poland than in the expensive Western European markets</w:t>
      </w:r>
      <w:r w:rsidRPr="00967A82">
        <w:rPr>
          <w:rFonts w:ascii="Arial" w:hAnsi="Arial" w:cs="Arial"/>
          <w:bCs/>
          <w:sz w:val="20"/>
          <w:szCs w:val="20"/>
          <w:lang w:val="en-US" w:eastAsia="en-US"/>
        </w:rPr>
        <w:t>, which translates into good long-term prospects for the office sector. Savills IM envisages that pricing for core assets will move out slightly by 25-50 basis points, while the yield spread between Warsaw and key regional markets may decrease.</w:t>
      </w:r>
    </w:p>
    <w:p w14:paraId="2528BCEF" w14:textId="77777777" w:rsidR="00FC57CF" w:rsidRPr="00967A82" w:rsidRDefault="00FC57CF" w:rsidP="00967A82">
      <w:pPr>
        <w:spacing w:afterLines="60" w:after="144" w:line="360" w:lineRule="auto"/>
        <w:ind w:right="283"/>
        <w:jc w:val="both"/>
        <w:rPr>
          <w:rFonts w:ascii="Arial" w:hAnsi="Arial" w:cs="Arial"/>
          <w:bCs/>
          <w:sz w:val="20"/>
          <w:szCs w:val="20"/>
          <w:lang w:val="en-US" w:eastAsia="en-US"/>
        </w:rPr>
      </w:pPr>
      <w:r w:rsidRPr="00967A82">
        <w:rPr>
          <w:rFonts w:ascii="Arial" w:hAnsi="Arial" w:cs="Arial"/>
          <w:bCs/>
          <w:sz w:val="20"/>
          <w:szCs w:val="20"/>
          <w:lang w:val="en-US" w:eastAsia="en-US"/>
        </w:rPr>
        <w:t xml:space="preserve">Apart from the hotel sector, the retail sector in Poland has suffered the most as a result of the pandemic. Therefore, Savills IM expects the repricing of retail facilities apart from the prime ones. This is caused by the anticipated drop in demand from tenants, change in shopping habits, dynamic growth in online sales and pressure on lower rents. </w:t>
      </w:r>
      <w:r w:rsidRPr="00967A82">
        <w:rPr>
          <w:rFonts w:ascii="Arial" w:hAnsi="Arial" w:cs="Arial"/>
          <w:sz w:val="20"/>
          <w:szCs w:val="20"/>
        </w:rPr>
        <w:t>Outlet centres and food-anchored retail parks are the most attractive subsectors with the best growth prospects</w:t>
      </w:r>
      <w:r w:rsidRPr="00967A82">
        <w:rPr>
          <w:rFonts w:ascii="Arial" w:hAnsi="Arial" w:cs="Arial"/>
          <w:bCs/>
          <w:sz w:val="20"/>
          <w:szCs w:val="20"/>
          <w:lang w:val="en-US" w:eastAsia="en-US"/>
        </w:rPr>
        <w:t>.</w:t>
      </w:r>
    </w:p>
    <w:p w14:paraId="26E4E1FC" w14:textId="77777777" w:rsidR="00FC57CF" w:rsidRPr="00967A82" w:rsidRDefault="00FC57CF" w:rsidP="00967A82">
      <w:pPr>
        <w:spacing w:afterLines="60" w:after="144" w:line="360" w:lineRule="auto"/>
        <w:ind w:right="283"/>
        <w:jc w:val="both"/>
        <w:rPr>
          <w:rFonts w:ascii="Arial" w:hAnsi="Arial" w:cs="Arial"/>
          <w:bCs/>
          <w:sz w:val="20"/>
          <w:szCs w:val="20"/>
          <w:lang w:val="en-US" w:eastAsia="en-US"/>
        </w:rPr>
      </w:pPr>
      <w:r w:rsidRPr="00967A82">
        <w:rPr>
          <w:rFonts w:ascii="Arial" w:hAnsi="Arial" w:cs="Arial"/>
          <w:bCs/>
          <w:sz w:val="20"/>
          <w:szCs w:val="20"/>
          <w:lang w:val="en-US" w:eastAsia="en-US"/>
        </w:rPr>
        <w:t>As can be concluded from Savills IM’s 2021 Outlook report, the dynamically growing market of institutional living sector deserves a focus. Higher rates of return compared to Western Europe, the fundamental scarcity of quality housing and lack of access to easy financing, combined with the initial phase of market development and the expected change in approach to real estate ownership, increase the attractiveness of this asset class for investors ready for a slightly higher risk profile.</w:t>
      </w:r>
    </w:p>
    <w:p w14:paraId="35BE4D20" w14:textId="77777777" w:rsidR="00FC57CF" w:rsidRPr="00967A82" w:rsidRDefault="00FC57CF" w:rsidP="00967A82">
      <w:pPr>
        <w:spacing w:afterLines="60" w:after="144" w:line="360" w:lineRule="auto"/>
        <w:ind w:right="283"/>
        <w:jc w:val="both"/>
        <w:rPr>
          <w:rFonts w:ascii="Arial" w:hAnsi="Arial" w:cs="Arial"/>
          <w:sz w:val="20"/>
          <w:szCs w:val="20"/>
          <w:lang w:eastAsia="en-US"/>
        </w:rPr>
      </w:pPr>
      <w:r w:rsidRPr="00967A82">
        <w:rPr>
          <w:rFonts w:ascii="Arial" w:hAnsi="Arial" w:cs="Arial"/>
          <w:sz w:val="20"/>
          <w:szCs w:val="20"/>
          <w:lang w:eastAsia="en-US"/>
        </w:rPr>
        <w:t>Key picks:</w:t>
      </w:r>
    </w:p>
    <w:p w14:paraId="60A19087" w14:textId="77777777" w:rsidR="00FC57CF" w:rsidRPr="00967A82" w:rsidRDefault="00FC57CF" w:rsidP="00967A82">
      <w:pPr>
        <w:numPr>
          <w:ilvl w:val="0"/>
          <w:numId w:val="13"/>
        </w:numPr>
        <w:spacing w:afterLines="60" w:after="144" w:line="360" w:lineRule="auto"/>
        <w:ind w:left="714" w:right="284" w:hanging="357"/>
        <w:contextualSpacing/>
        <w:jc w:val="both"/>
        <w:rPr>
          <w:rFonts w:ascii="Arial" w:hAnsi="Arial" w:cs="Arial"/>
          <w:sz w:val="20"/>
          <w:szCs w:val="20"/>
          <w:lang w:val="en-US" w:eastAsia="en-US"/>
        </w:rPr>
      </w:pPr>
      <w:r w:rsidRPr="00967A82">
        <w:rPr>
          <w:rFonts w:ascii="Arial" w:hAnsi="Arial" w:cs="Arial"/>
          <w:sz w:val="20"/>
          <w:szCs w:val="20"/>
        </w:rPr>
        <w:lastRenderedPageBreak/>
        <w:t>Modern distribution centres along the main corridors and multi-let assets near urban areas</w:t>
      </w:r>
      <w:r w:rsidRPr="00967A82">
        <w:rPr>
          <w:rFonts w:ascii="Arial" w:hAnsi="Arial" w:cs="Arial"/>
          <w:sz w:val="20"/>
          <w:szCs w:val="20"/>
          <w:lang w:val="en-US" w:eastAsia="en-US"/>
        </w:rPr>
        <w:t>.</w:t>
      </w:r>
    </w:p>
    <w:p w14:paraId="313264F5" w14:textId="77777777" w:rsidR="00FC57CF" w:rsidRPr="00967A82" w:rsidRDefault="00FC57CF" w:rsidP="00967A82">
      <w:pPr>
        <w:numPr>
          <w:ilvl w:val="0"/>
          <w:numId w:val="13"/>
        </w:numPr>
        <w:spacing w:line="360" w:lineRule="auto"/>
        <w:ind w:left="714" w:right="284" w:hanging="357"/>
        <w:jc w:val="both"/>
        <w:rPr>
          <w:rFonts w:ascii="Arial" w:hAnsi="Arial" w:cs="Arial"/>
          <w:sz w:val="20"/>
          <w:szCs w:val="20"/>
          <w:lang w:val="en-US" w:eastAsia="en-US"/>
        </w:rPr>
      </w:pPr>
      <w:r w:rsidRPr="00967A82">
        <w:rPr>
          <w:rFonts w:ascii="Arial" w:hAnsi="Arial" w:cs="Arial"/>
          <w:sz w:val="20"/>
          <w:szCs w:val="20"/>
        </w:rPr>
        <w:t>Top quality core assets in Warsaw that are part of mixed-use projects, and selected office facilities in key regional cities</w:t>
      </w:r>
      <w:r w:rsidRPr="00967A82">
        <w:rPr>
          <w:rFonts w:ascii="Arial" w:hAnsi="Arial" w:cs="Arial"/>
          <w:sz w:val="20"/>
          <w:szCs w:val="20"/>
          <w:lang w:val="en-US" w:eastAsia="en-US"/>
        </w:rPr>
        <w:t>.</w:t>
      </w:r>
    </w:p>
    <w:p w14:paraId="7557E3A4" w14:textId="77777777" w:rsidR="00FC57CF" w:rsidRDefault="00FC57CF" w:rsidP="00967A82">
      <w:pPr>
        <w:pStyle w:val="Akapitzlist"/>
        <w:numPr>
          <w:ilvl w:val="0"/>
          <w:numId w:val="13"/>
        </w:numPr>
        <w:spacing w:line="360" w:lineRule="auto"/>
        <w:ind w:left="714" w:right="284" w:hanging="357"/>
        <w:contextualSpacing w:val="0"/>
        <w:jc w:val="both"/>
        <w:rPr>
          <w:rFonts w:ascii="Arial" w:hAnsi="Arial" w:cs="Arial"/>
          <w:bCs/>
          <w:sz w:val="20"/>
          <w:szCs w:val="20"/>
          <w:lang w:val="en-US" w:eastAsia="en-US"/>
        </w:rPr>
      </w:pPr>
      <w:r w:rsidRPr="00967A82">
        <w:rPr>
          <w:rFonts w:ascii="Arial" w:hAnsi="Arial" w:cs="Arial"/>
          <w:sz w:val="20"/>
          <w:szCs w:val="20"/>
        </w:rPr>
        <w:t>Outlet centres and food-anchored retail parks</w:t>
      </w:r>
      <w:r w:rsidRPr="00967A82">
        <w:rPr>
          <w:rFonts w:ascii="Arial" w:hAnsi="Arial" w:cs="Arial"/>
          <w:bCs/>
          <w:sz w:val="20"/>
          <w:szCs w:val="20"/>
          <w:lang w:val="en-US" w:eastAsia="en-US"/>
        </w:rPr>
        <w:t>.</w:t>
      </w:r>
    </w:p>
    <w:p w14:paraId="6B6224DF" w14:textId="77777777" w:rsidR="00967A82" w:rsidRPr="00967A82" w:rsidRDefault="00967A82" w:rsidP="00967A82">
      <w:pPr>
        <w:spacing w:line="360" w:lineRule="auto"/>
        <w:ind w:left="357" w:right="284"/>
        <w:jc w:val="both"/>
        <w:rPr>
          <w:rFonts w:ascii="Arial" w:hAnsi="Arial" w:cs="Arial"/>
          <w:bCs/>
          <w:sz w:val="20"/>
          <w:szCs w:val="20"/>
          <w:lang w:val="en-US" w:eastAsia="en-US"/>
        </w:rPr>
      </w:pPr>
    </w:p>
    <w:p w14:paraId="47C50636" w14:textId="77777777" w:rsidR="00FC57CF" w:rsidRPr="00967A82" w:rsidRDefault="00FC57CF" w:rsidP="00967A82">
      <w:pPr>
        <w:spacing w:afterLines="60" w:after="144" w:line="360" w:lineRule="auto"/>
        <w:ind w:right="283"/>
        <w:jc w:val="both"/>
        <w:rPr>
          <w:rFonts w:ascii="Arial" w:hAnsi="Arial" w:cs="Arial"/>
          <w:sz w:val="20"/>
          <w:szCs w:val="20"/>
          <w:lang w:val="en-US" w:eastAsia="en-US"/>
        </w:rPr>
      </w:pPr>
      <w:r w:rsidRPr="00967A82">
        <w:rPr>
          <w:rFonts w:ascii="Arial" w:hAnsi="Arial" w:cs="Arial"/>
          <w:b/>
          <w:sz w:val="20"/>
          <w:szCs w:val="20"/>
          <w:lang w:val="en-US" w:eastAsia="en-US"/>
        </w:rPr>
        <w:t xml:space="preserve">Piotr </w:t>
      </w:r>
      <w:proofErr w:type="spellStart"/>
      <w:r w:rsidRPr="00967A82">
        <w:rPr>
          <w:rFonts w:ascii="Arial" w:hAnsi="Arial" w:cs="Arial"/>
          <w:b/>
          <w:sz w:val="20"/>
          <w:szCs w:val="20"/>
          <w:lang w:val="en-US" w:eastAsia="en-US"/>
        </w:rPr>
        <w:t>Trzciński</w:t>
      </w:r>
      <w:proofErr w:type="spellEnd"/>
      <w:r w:rsidRPr="00967A82">
        <w:rPr>
          <w:rFonts w:ascii="Arial" w:hAnsi="Arial" w:cs="Arial"/>
          <w:b/>
          <w:sz w:val="20"/>
          <w:szCs w:val="20"/>
          <w:lang w:val="en-US" w:eastAsia="en-US"/>
        </w:rPr>
        <w:t>, Head of Investment – Poland at Savills IM</w:t>
      </w:r>
      <w:r w:rsidRPr="00967A82">
        <w:rPr>
          <w:rFonts w:ascii="Arial" w:hAnsi="Arial" w:cs="Arial"/>
          <w:sz w:val="20"/>
          <w:szCs w:val="20"/>
          <w:lang w:val="en-US" w:eastAsia="en-US"/>
        </w:rPr>
        <w:t>, commented:</w:t>
      </w:r>
    </w:p>
    <w:p w14:paraId="7C7C5204" w14:textId="2C20BE55" w:rsidR="00B02607" w:rsidRPr="00967A82" w:rsidRDefault="001325C5" w:rsidP="00967A82">
      <w:pPr>
        <w:spacing w:afterLines="60" w:after="144" w:line="360" w:lineRule="auto"/>
        <w:ind w:right="284"/>
        <w:jc w:val="both"/>
        <w:rPr>
          <w:rFonts w:ascii="Arial" w:hAnsi="Arial" w:cs="Arial"/>
          <w:sz w:val="20"/>
          <w:szCs w:val="20"/>
          <w:lang w:val="en-US" w:eastAsia="en-US"/>
        </w:rPr>
      </w:pPr>
      <w:r>
        <w:rPr>
          <w:rFonts w:ascii="Arial" w:hAnsi="Arial" w:cs="Arial"/>
          <w:sz w:val="20"/>
          <w:szCs w:val="20"/>
          <w:lang w:val="en-US" w:eastAsia="en-US"/>
        </w:rPr>
        <w:t>“</w:t>
      </w:r>
      <w:r w:rsidRPr="001325C5">
        <w:rPr>
          <w:rFonts w:ascii="Arial" w:hAnsi="Arial" w:cs="Arial"/>
          <w:sz w:val="20"/>
          <w:szCs w:val="20"/>
          <w:lang w:val="en-US" w:eastAsia="en-US"/>
        </w:rPr>
        <w:t>Poland keeps its leading position in Central Europe in terms of appeal to investors, offering a relatively high risk premium. Apart fro</w:t>
      </w:r>
      <w:r>
        <w:rPr>
          <w:rFonts w:ascii="Arial" w:hAnsi="Arial" w:cs="Arial"/>
          <w:sz w:val="20"/>
          <w:szCs w:val="20"/>
          <w:lang w:val="en-US" w:eastAsia="en-US"/>
        </w:rPr>
        <w:t>m the COVID-19 effect, I think</w:t>
      </w:r>
      <w:r w:rsidRPr="001325C5">
        <w:rPr>
          <w:rFonts w:ascii="Arial" w:hAnsi="Arial" w:cs="Arial"/>
          <w:sz w:val="20"/>
          <w:szCs w:val="20"/>
          <w:lang w:val="en-US" w:eastAsia="en-US"/>
        </w:rPr>
        <w:t xml:space="preserve"> that the future level of market activity will depend mainly on the availability of an appropriate product and the sources of capital. Owing to its potential, location, or absorptive and large domestic market, Poland is viewed by a number of foreign investors as an interesting element of geographical diversification, often in the context of broader pan-European strategies. Also, I do hope that the proliferation of the COVID-19 vaccine at the end of 2021 will reduce the negative impact of uncertainty and limited mobility on the condition of our investment market.   </w:t>
      </w:r>
    </w:p>
    <w:p w14:paraId="6E1130FD" w14:textId="03A86913" w:rsidR="00FC57CF" w:rsidRPr="00967A82" w:rsidRDefault="00FC57CF" w:rsidP="00967A82">
      <w:pPr>
        <w:spacing w:afterLines="60" w:after="144" w:line="360" w:lineRule="auto"/>
        <w:ind w:right="283"/>
        <w:jc w:val="both"/>
        <w:rPr>
          <w:rFonts w:ascii="Arial" w:hAnsi="Arial" w:cs="Arial"/>
          <w:sz w:val="20"/>
          <w:szCs w:val="20"/>
          <w:lang w:val="en-US" w:eastAsia="en-US"/>
        </w:rPr>
      </w:pPr>
      <w:r w:rsidRPr="00967A82">
        <w:rPr>
          <w:rFonts w:ascii="Arial" w:hAnsi="Arial" w:cs="Arial"/>
          <w:sz w:val="20"/>
          <w:szCs w:val="20"/>
          <w:lang w:val="en-US" w:eastAsia="en-US"/>
        </w:rPr>
        <w:t xml:space="preserve">Also, I am confident that the importance of responsible investing will grow in Poland. There is much more to ESG than just a green certificate. Those market participants who will, in their strategies, advertently take the responsibility for the impact of the property on the environment, the end user or the local community  will contribute to the popularity of safe, human-centered and eco-friendly properties and will better protect the value of their investments in the long run compared to projects where ESG matters were not taken into account at the design or acquisition stage.” </w:t>
      </w:r>
    </w:p>
    <w:p w14:paraId="2E97DE9F" w14:textId="77777777" w:rsidR="00967A82" w:rsidRPr="00967A82" w:rsidRDefault="00967A82" w:rsidP="00967A82">
      <w:pPr>
        <w:spacing w:afterLines="60" w:after="144" w:line="360" w:lineRule="auto"/>
        <w:ind w:right="283"/>
        <w:jc w:val="both"/>
        <w:rPr>
          <w:rFonts w:ascii="Arial" w:hAnsi="Arial" w:cs="Arial"/>
          <w:sz w:val="20"/>
          <w:szCs w:val="20"/>
          <w:lang w:val="en-US" w:eastAsia="en-US"/>
        </w:rPr>
      </w:pPr>
    </w:p>
    <w:p w14:paraId="7AD898C5" w14:textId="52A2FC90" w:rsidR="000412BC" w:rsidRPr="00967A82" w:rsidRDefault="00060321" w:rsidP="00967A82">
      <w:pPr>
        <w:pStyle w:val="Bullet"/>
        <w:numPr>
          <w:ilvl w:val="0"/>
          <w:numId w:val="0"/>
        </w:numPr>
        <w:spacing w:afterLines="60" w:after="144" w:line="360" w:lineRule="auto"/>
        <w:ind w:right="283"/>
        <w:jc w:val="both"/>
        <w:rPr>
          <w:rFonts w:cs="Arial"/>
          <w:color w:val="auto"/>
          <w:sz w:val="20"/>
        </w:rPr>
      </w:pPr>
      <w:r w:rsidRPr="00967A82">
        <w:rPr>
          <w:rFonts w:cs="Arial"/>
          <w:color w:val="auto"/>
          <w:sz w:val="20"/>
        </w:rPr>
        <w:t xml:space="preserve">Key themes highlighted in </w:t>
      </w:r>
      <w:r w:rsidR="008169E7" w:rsidRPr="00967A82">
        <w:rPr>
          <w:rFonts w:cs="Arial"/>
          <w:color w:val="auto"/>
          <w:sz w:val="20"/>
        </w:rPr>
        <w:t xml:space="preserve">Savills IM’s </w:t>
      </w:r>
      <w:r w:rsidR="00697B41" w:rsidRPr="00967A82">
        <w:rPr>
          <w:rFonts w:cs="Arial"/>
          <w:color w:val="auto"/>
          <w:sz w:val="20"/>
        </w:rPr>
        <w:t xml:space="preserve">2021 Outlook </w:t>
      </w:r>
      <w:r w:rsidR="004C796F" w:rsidRPr="00967A82">
        <w:rPr>
          <w:rFonts w:cs="Arial"/>
          <w:color w:val="auto"/>
          <w:sz w:val="20"/>
        </w:rPr>
        <w:t>r</w:t>
      </w:r>
      <w:r w:rsidRPr="00967A82">
        <w:rPr>
          <w:rFonts w:cs="Arial"/>
          <w:color w:val="auto"/>
          <w:sz w:val="20"/>
        </w:rPr>
        <w:t>eport include</w:t>
      </w:r>
      <w:r w:rsidR="004C796F" w:rsidRPr="00967A82">
        <w:rPr>
          <w:rFonts w:cs="Arial"/>
          <w:color w:val="auto"/>
          <w:sz w:val="20"/>
        </w:rPr>
        <w:t xml:space="preserve"> the following.</w:t>
      </w:r>
    </w:p>
    <w:p w14:paraId="1DB560CE" w14:textId="035C4B13" w:rsidR="00751D96" w:rsidRPr="00967A82" w:rsidRDefault="00751D96" w:rsidP="00967A82">
      <w:pPr>
        <w:pStyle w:val="Bullet"/>
        <w:numPr>
          <w:ilvl w:val="0"/>
          <w:numId w:val="0"/>
        </w:numPr>
        <w:spacing w:afterLines="60" w:after="144" w:line="360" w:lineRule="auto"/>
        <w:ind w:right="283"/>
        <w:jc w:val="both"/>
        <w:rPr>
          <w:rFonts w:cs="Arial"/>
          <w:color w:val="auto"/>
          <w:sz w:val="20"/>
        </w:rPr>
      </w:pPr>
      <w:r w:rsidRPr="00967A82">
        <w:rPr>
          <w:rFonts w:cs="Arial"/>
          <w:b/>
          <w:bCs/>
          <w:color w:val="auto"/>
          <w:sz w:val="20"/>
        </w:rPr>
        <w:t>Logistics to remain ‘investor</w:t>
      </w:r>
      <w:r w:rsidR="004C796F" w:rsidRPr="00967A82">
        <w:rPr>
          <w:rFonts w:cs="Arial"/>
          <w:b/>
          <w:bCs/>
          <w:color w:val="auto"/>
          <w:sz w:val="20"/>
        </w:rPr>
        <w:t>s’</w:t>
      </w:r>
      <w:r w:rsidRPr="00967A82">
        <w:rPr>
          <w:rFonts w:cs="Arial"/>
          <w:b/>
          <w:bCs/>
          <w:color w:val="auto"/>
          <w:sz w:val="20"/>
        </w:rPr>
        <w:t xml:space="preserve"> darling’ in 2021</w:t>
      </w:r>
    </w:p>
    <w:p w14:paraId="32E84B03" w14:textId="77777777" w:rsidR="004C796F" w:rsidRPr="00967A82" w:rsidRDefault="00751D96"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Logistics is set to remain a bright spot within the real estate landscape. Backed by solid fundamentals and structural tailwinds</w:t>
      </w:r>
      <w:r w:rsidR="0074046E" w:rsidRPr="00967A82">
        <w:rPr>
          <w:rFonts w:ascii="Arial" w:hAnsi="Arial" w:cs="Arial"/>
          <w:sz w:val="20"/>
          <w:szCs w:val="20"/>
          <w:lang w:val="en-US"/>
        </w:rPr>
        <w:t xml:space="preserve"> such as </w:t>
      </w:r>
      <w:r w:rsidR="004E20A3" w:rsidRPr="00967A82">
        <w:rPr>
          <w:rFonts w:ascii="Arial" w:hAnsi="Arial" w:cs="Arial"/>
          <w:sz w:val="20"/>
          <w:szCs w:val="20"/>
          <w:lang w:val="en-US"/>
        </w:rPr>
        <w:t>a further increase in e</w:t>
      </w:r>
      <w:r w:rsidR="00960DAF" w:rsidRPr="00967A82">
        <w:rPr>
          <w:rFonts w:ascii="Arial" w:hAnsi="Arial" w:cs="Arial"/>
          <w:sz w:val="20"/>
          <w:szCs w:val="20"/>
          <w:lang w:val="en-US"/>
        </w:rPr>
        <w:t>-</w:t>
      </w:r>
      <w:r w:rsidR="004E20A3" w:rsidRPr="00967A82">
        <w:rPr>
          <w:rFonts w:ascii="Arial" w:hAnsi="Arial" w:cs="Arial"/>
          <w:sz w:val="20"/>
          <w:szCs w:val="20"/>
          <w:lang w:val="en-US"/>
        </w:rPr>
        <w:t>commerce</w:t>
      </w:r>
      <w:r w:rsidR="00CD25FE" w:rsidRPr="00967A82">
        <w:rPr>
          <w:rFonts w:ascii="Arial" w:hAnsi="Arial" w:cs="Arial"/>
          <w:sz w:val="20"/>
          <w:szCs w:val="20"/>
          <w:lang w:val="en-US"/>
        </w:rPr>
        <w:t xml:space="preserve"> and low overall vacancy rates</w:t>
      </w:r>
      <w:r w:rsidRPr="00967A82">
        <w:rPr>
          <w:rFonts w:ascii="Arial" w:hAnsi="Arial" w:cs="Arial"/>
          <w:sz w:val="20"/>
          <w:szCs w:val="20"/>
          <w:lang w:val="en-US"/>
        </w:rPr>
        <w:t>, investor sentiment is particularly positive for logistics. Savills IM still like</w:t>
      </w:r>
      <w:r w:rsidR="004C796F" w:rsidRPr="00967A82">
        <w:rPr>
          <w:rFonts w:ascii="Arial" w:hAnsi="Arial" w:cs="Arial"/>
          <w:sz w:val="20"/>
          <w:szCs w:val="20"/>
          <w:lang w:val="en-US"/>
        </w:rPr>
        <w:t>s</w:t>
      </w:r>
      <w:r w:rsidRPr="00967A82">
        <w:rPr>
          <w:rFonts w:ascii="Arial" w:hAnsi="Arial" w:cs="Arial"/>
          <w:sz w:val="20"/>
          <w:szCs w:val="20"/>
          <w:lang w:val="en-US"/>
        </w:rPr>
        <w:t xml:space="preserve"> modern distribution </w:t>
      </w:r>
      <w:proofErr w:type="spellStart"/>
      <w:r w:rsidRPr="00967A82">
        <w:rPr>
          <w:rFonts w:ascii="Arial" w:hAnsi="Arial" w:cs="Arial"/>
          <w:sz w:val="20"/>
          <w:szCs w:val="20"/>
          <w:lang w:val="en-US"/>
        </w:rPr>
        <w:t>centres</w:t>
      </w:r>
      <w:proofErr w:type="spellEnd"/>
      <w:r w:rsidRPr="00967A82">
        <w:rPr>
          <w:rFonts w:ascii="Arial" w:hAnsi="Arial" w:cs="Arial"/>
          <w:sz w:val="20"/>
          <w:szCs w:val="20"/>
          <w:lang w:val="en-US"/>
        </w:rPr>
        <w:t xml:space="preserve"> with a strong long-term covenant in the main logistics clusters along the major motorways and transport networks across Europe. </w:t>
      </w:r>
    </w:p>
    <w:p w14:paraId="524F929B" w14:textId="51A32E16" w:rsidR="00751D96" w:rsidRPr="00967A82" w:rsidRDefault="00751D96"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 xml:space="preserve">In addition to </w:t>
      </w:r>
      <w:r w:rsidR="00AA17CC" w:rsidRPr="00967A82">
        <w:rPr>
          <w:rFonts w:ascii="Arial" w:hAnsi="Arial" w:cs="Arial"/>
          <w:sz w:val="20"/>
          <w:szCs w:val="20"/>
          <w:lang w:val="en-US"/>
        </w:rPr>
        <w:t>the investment manager’s</w:t>
      </w:r>
      <w:r w:rsidRPr="00967A82">
        <w:rPr>
          <w:rFonts w:ascii="Arial" w:hAnsi="Arial" w:cs="Arial"/>
          <w:sz w:val="20"/>
          <w:szCs w:val="20"/>
          <w:lang w:val="en-US"/>
        </w:rPr>
        <w:t xml:space="preserve"> current investment approach, a strategy specifically aimed at urban logistics assets offers an attractive proxy to capture both the growth in e-commerce as well as </w:t>
      </w:r>
      <w:proofErr w:type="spellStart"/>
      <w:r w:rsidRPr="00967A82">
        <w:rPr>
          <w:rFonts w:ascii="Arial" w:hAnsi="Arial" w:cs="Arial"/>
          <w:sz w:val="20"/>
          <w:szCs w:val="20"/>
          <w:lang w:val="en-US"/>
        </w:rPr>
        <w:t>urbani</w:t>
      </w:r>
      <w:r w:rsidR="0000439C" w:rsidRPr="00967A82">
        <w:rPr>
          <w:rFonts w:ascii="Arial" w:hAnsi="Arial" w:cs="Arial"/>
          <w:sz w:val="20"/>
          <w:szCs w:val="20"/>
          <w:lang w:val="en-US"/>
        </w:rPr>
        <w:t>s</w:t>
      </w:r>
      <w:r w:rsidRPr="00967A82">
        <w:rPr>
          <w:rFonts w:ascii="Arial" w:hAnsi="Arial" w:cs="Arial"/>
          <w:sz w:val="20"/>
          <w:szCs w:val="20"/>
          <w:lang w:val="en-US"/>
        </w:rPr>
        <w:t>ation</w:t>
      </w:r>
      <w:proofErr w:type="spellEnd"/>
      <w:r w:rsidRPr="00967A82">
        <w:rPr>
          <w:rFonts w:ascii="Arial" w:hAnsi="Arial" w:cs="Arial"/>
          <w:sz w:val="20"/>
          <w:szCs w:val="20"/>
          <w:lang w:val="en-US"/>
        </w:rPr>
        <w:t xml:space="preserve"> amid the market downcycle. Savills IM’s research found that logistics is the most </w:t>
      </w:r>
      <w:proofErr w:type="spellStart"/>
      <w:r w:rsidRPr="00967A82">
        <w:rPr>
          <w:rFonts w:ascii="Arial" w:hAnsi="Arial" w:cs="Arial"/>
          <w:sz w:val="20"/>
          <w:szCs w:val="20"/>
          <w:lang w:val="en-US"/>
        </w:rPr>
        <w:t>favoured</w:t>
      </w:r>
      <w:proofErr w:type="spellEnd"/>
      <w:r w:rsidRPr="00967A82">
        <w:rPr>
          <w:rFonts w:ascii="Arial" w:hAnsi="Arial" w:cs="Arial"/>
          <w:sz w:val="20"/>
          <w:szCs w:val="20"/>
          <w:lang w:val="en-US"/>
        </w:rPr>
        <w:t xml:space="preserve"> sector among real estate investors, with </w:t>
      </w:r>
      <w:r w:rsidRPr="00967A82">
        <w:rPr>
          <w:rFonts w:ascii="Arial" w:hAnsi="Arial" w:cs="Arial"/>
          <w:sz w:val="20"/>
          <w:szCs w:val="20"/>
          <w:lang w:val="en-IE"/>
        </w:rPr>
        <w:t>57% and 55% seeing increasing investment in big box distribution centres and last mile/urban logistics assets</w:t>
      </w:r>
      <w:r w:rsidR="0000439C" w:rsidRPr="00967A82">
        <w:rPr>
          <w:rFonts w:ascii="Arial" w:hAnsi="Arial" w:cs="Arial"/>
          <w:sz w:val="20"/>
          <w:szCs w:val="20"/>
          <w:lang w:val="en-IE"/>
        </w:rPr>
        <w:t>,</w:t>
      </w:r>
      <w:r w:rsidRPr="00967A82">
        <w:rPr>
          <w:rFonts w:ascii="Arial" w:hAnsi="Arial" w:cs="Arial"/>
          <w:sz w:val="20"/>
          <w:szCs w:val="20"/>
          <w:lang w:val="en-IE"/>
        </w:rPr>
        <w:t xml:space="preserve"> respectively.</w:t>
      </w:r>
    </w:p>
    <w:p w14:paraId="51B820FE" w14:textId="77777777" w:rsidR="00751D96" w:rsidRPr="00967A82" w:rsidRDefault="00751D96" w:rsidP="00967A82">
      <w:pPr>
        <w:pStyle w:val="Bullet"/>
        <w:numPr>
          <w:ilvl w:val="0"/>
          <w:numId w:val="0"/>
        </w:numPr>
        <w:spacing w:afterLines="60" w:after="144" w:line="360" w:lineRule="auto"/>
        <w:ind w:right="283"/>
        <w:jc w:val="both"/>
        <w:rPr>
          <w:rFonts w:cs="Arial"/>
          <w:color w:val="auto"/>
          <w:sz w:val="20"/>
        </w:rPr>
      </w:pPr>
      <w:r w:rsidRPr="00967A82">
        <w:rPr>
          <w:rFonts w:cs="Arial"/>
          <w:color w:val="auto"/>
          <w:sz w:val="20"/>
        </w:rPr>
        <w:t>Key picks:</w:t>
      </w:r>
    </w:p>
    <w:p w14:paraId="1FD6A490" w14:textId="7C2BD7DB" w:rsidR="00751D96" w:rsidRPr="00967A82" w:rsidRDefault="0000439C"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lastRenderedPageBreak/>
        <w:t>c</w:t>
      </w:r>
      <w:r w:rsidR="00751D96" w:rsidRPr="00967A82">
        <w:rPr>
          <w:rFonts w:eastAsia="Times New Roman" w:cs="Arial"/>
          <w:color w:val="auto"/>
          <w:sz w:val="20"/>
        </w:rPr>
        <w:t>ore/core-plus assets with a strong long-term covenant in the main logistics clusters across Europe</w:t>
      </w:r>
    </w:p>
    <w:p w14:paraId="0873FE8F" w14:textId="0D4D5B5C" w:rsidR="00751D96" w:rsidRPr="00967A82" w:rsidRDefault="0000439C"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m</w:t>
      </w:r>
      <w:r w:rsidR="00751D96" w:rsidRPr="00967A82">
        <w:rPr>
          <w:rFonts w:eastAsia="Times New Roman" w:cs="Arial"/>
          <w:color w:val="auto"/>
          <w:sz w:val="20"/>
        </w:rPr>
        <w:t xml:space="preserve">odern distribution </w:t>
      </w:r>
      <w:proofErr w:type="spellStart"/>
      <w:r w:rsidR="00751D96" w:rsidRPr="00967A82">
        <w:rPr>
          <w:rFonts w:eastAsia="Times New Roman" w:cs="Arial"/>
          <w:color w:val="auto"/>
          <w:sz w:val="20"/>
        </w:rPr>
        <w:t>centres</w:t>
      </w:r>
      <w:proofErr w:type="spellEnd"/>
      <w:r w:rsidR="00751D96" w:rsidRPr="00967A82">
        <w:rPr>
          <w:rFonts w:eastAsia="Times New Roman" w:cs="Arial"/>
          <w:color w:val="auto"/>
          <w:sz w:val="20"/>
        </w:rPr>
        <w:t xml:space="preserve"> along the main motorways and transport networks such as the North Sea</w:t>
      </w:r>
      <w:r w:rsidRPr="00967A82">
        <w:rPr>
          <w:rFonts w:eastAsia="Times New Roman" w:cs="Arial"/>
          <w:color w:val="auto"/>
          <w:sz w:val="20"/>
        </w:rPr>
        <w:t>–</w:t>
      </w:r>
      <w:r w:rsidR="00751D96" w:rsidRPr="00967A82">
        <w:rPr>
          <w:rFonts w:eastAsia="Times New Roman" w:cs="Arial"/>
          <w:color w:val="auto"/>
          <w:sz w:val="20"/>
        </w:rPr>
        <w:t>Baltic, North Sea</w:t>
      </w:r>
      <w:r w:rsidRPr="00967A82">
        <w:rPr>
          <w:rFonts w:eastAsia="Times New Roman" w:cs="Arial"/>
          <w:color w:val="auto"/>
          <w:sz w:val="20"/>
        </w:rPr>
        <w:t>–</w:t>
      </w:r>
      <w:r w:rsidR="00751D96" w:rsidRPr="00967A82">
        <w:rPr>
          <w:rFonts w:eastAsia="Times New Roman" w:cs="Arial"/>
          <w:color w:val="auto"/>
          <w:sz w:val="20"/>
        </w:rPr>
        <w:t>Mediterranean and Atlantic corridors</w:t>
      </w:r>
    </w:p>
    <w:p w14:paraId="64F96A0C" w14:textId="580766DC" w:rsidR="00751D96" w:rsidRPr="00967A82" w:rsidRDefault="0000439C"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l</w:t>
      </w:r>
      <w:r w:rsidR="00751D96" w:rsidRPr="00967A82">
        <w:rPr>
          <w:rFonts w:eastAsia="Times New Roman" w:cs="Arial"/>
          <w:color w:val="auto"/>
          <w:sz w:val="20"/>
        </w:rPr>
        <w:t>ogistics facilities in regional markets in well-connected locations in France, Germany</w:t>
      </w:r>
      <w:r w:rsidRPr="00967A82">
        <w:rPr>
          <w:rFonts w:eastAsia="Times New Roman" w:cs="Arial"/>
          <w:color w:val="auto"/>
          <w:sz w:val="20"/>
        </w:rPr>
        <w:t xml:space="preserve"> and</w:t>
      </w:r>
      <w:r w:rsidR="00751D96" w:rsidRPr="00967A82">
        <w:rPr>
          <w:rFonts w:eastAsia="Times New Roman" w:cs="Arial"/>
          <w:color w:val="auto"/>
          <w:sz w:val="20"/>
        </w:rPr>
        <w:t xml:space="preserve"> the UK</w:t>
      </w:r>
    </w:p>
    <w:p w14:paraId="4F662DBE" w14:textId="2F01EA41" w:rsidR="00751D96" w:rsidRPr="00967A82" w:rsidRDefault="0000439C"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u</w:t>
      </w:r>
      <w:r w:rsidR="00751D96" w:rsidRPr="00967A82">
        <w:rPr>
          <w:rFonts w:eastAsia="Times New Roman" w:cs="Arial"/>
          <w:color w:val="auto"/>
          <w:sz w:val="20"/>
        </w:rPr>
        <w:t>rban logistics units and multi-let assets close to large and densely populated areas across Europe</w:t>
      </w:r>
    </w:p>
    <w:p w14:paraId="1DF5B4A2" w14:textId="77777777" w:rsidR="00751D96" w:rsidRPr="00967A82" w:rsidRDefault="00751D96" w:rsidP="00967A82">
      <w:pPr>
        <w:pStyle w:val="Bullet"/>
        <w:numPr>
          <w:ilvl w:val="0"/>
          <w:numId w:val="0"/>
        </w:numPr>
        <w:spacing w:afterLines="60" w:after="144" w:line="360" w:lineRule="auto"/>
        <w:ind w:right="283"/>
        <w:jc w:val="both"/>
        <w:rPr>
          <w:rFonts w:cs="Arial"/>
          <w:color w:val="auto"/>
          <w:sz w:val="20"/>
        </w:rPr>
      </w:pPr>
    </w:p>
    <w:p w14:paraId="57F69FAA" w14:textId="77847B67" w:rsidR="00751D96" w:rsidRPr="00967A82" w:rsidRDefault="00751D96" w:rsidP="00967A82">
      <w:pPr>
        <w:pStyle w:val="Bullet"/>
        <w:numPr>
          <w:ilvl w:val="0"/>
          <w:numId w:val="0"/>
        </w:numPr>
        <w:spacing w:afterLines="60" w:after="144" w:line="360" w:lineRule="auto"/>
        <w:ind w:right="283"/>
        <w:jc w:val="both"/>
        <w:rPr>
          <w:rFonts w:cs="Arial"/>
          <w:color w:val="auto"/>
          <w:sz w:val="20"/>
        </w:rPr>
      </w:pPr>
      <w:r w:rsidRPr="00967A82">
        <w:rPr>
          <w:rFonts w:cs="Arial"/>
          <w:b/>
          <w:bCs/>
          <w:color w:val="auto"/>
          <w:sz w:val="20"/>
        </w:rPr>
        <w:t xml:space="preserve">Retail – food and discount </w:t>
      </w:r>
      <w:r w:rsidR="000C4F51" w:rsidRPr="00967A82">
        <w:rPr>
          <w:rFonts w:cs="Arial"/>
          <w:b/>
          <w:bCs/>
          <w:color w:val="auto"/>
          <w:sz w:val="20"/>
        </w:rPr>
        <w:t xml:space="preserve">segments </w:t>
      </w:r>
      <w:r w:rsidRPr="00967A82">
        <w:rPr>
          <w:rFonts w:cs="Arial"/>
          <w:b/>
          <w:bCs/>
          <w:color w:val="auto"/>
          <w:sz w:val="20"/>
        </w:rPr>
        <w:t>show resilience</w:t>
      </w:r>
    </w:p>
    <w:p w14:paraId="2B58323F" w14:textId="78D81E01" w:rsidR="00751D96" w:rsidRPr="00967A82" w:rsidRDefault="00751D96"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Food retail offers a resilient investment income stream and therefore is a strong buy for core/core</w:t>
      </w:r>
      <w:r w:rsidR="000C4F51" w:rsidRPr="00967A82">
        <w:rPr>
          <w:rFonts w:ascii="Arial" w:hAnsi="Arial" w:cs="Arial"/>
          <w:sz w:val="20"/>
          <w:szCs w:val="20"/>
          <w:lang w:val="en-US"/>
        </w:rPr>
        <w:t>-plus</w:t>
      </w:r>
      <w:r w:rsidRPr="00967A82">
        <w:rPr>
          <w:rFonts w:ascii="Arial" w:hAnsi="Arial" w:cs="Arial"/>
          <w:sz w:val="20"/>
          <w:szCs w:val="20"/>
          <w:lang w:val="en-US"/>
        </w:rPr>
        <w:t xml:space="preserve"> investors. </w:t>
      </w:r>
      <w:r w:rsidR="00706F0D" w:rsidRPr="00967A82">
        <w:rPr>
          <w:rFonts w:ascii="Arial" w:hAnsi="Arial" w:cs="Arial"/>
          <w:sz w:val="20"/>
          <w:szCs w:val="20"/>
          <w:lang w:val="en-US"/>
        </w:rPr>
        <w:t xml:space="preserve">Savills IM’s research found that </w:t>
      </w:r>
      <w:r w:rsidR="003F28C7" w:rsidRPr="00967A82">
        <w:rPr>
          <w:rFonts w:ascii="Arial" w:hAnsi="Arial" w:cs="Arial"/>
          <w:sz w:val="20"/>
          <w:szCs w:val="20"/>
          <w:lang w:val="en-US"/>
        </w:rPr>
        <w:t>80</w:t>
      </w:r>
      <w:r w:rsidR="00706F0D" w:rsidRPr="00967A82">
        <w:rPr>
          <w:rFonts w:ascii="Arial" w:hAnsi="Arial" w:cs="Arial"/>
          <w:sz w:val="20"/>
          <w:szCs w:val="20"/>
          <w:lang w:val="en-US"/>
        </w:rPr>
        <w:t>% of real estate investors globally expect investment in food retail assets</w:t>
      </w:r>
      <w:r w:rsidR="000C4F51" w:rsidRPr="00967A82">
        <w:rPr>
          <w:rFonts w:ascii="Arial" w:hAnsi="Arial" w:cs="Arial"/>
          <w:sz w:val="20"/>
          <w:szCs w:val="20"/>
          <w:lang w:val="en-US"/>
        </w:rPr>
        <w:t xml:space="preserve"> to increase or remain stable</w:t>
      </w:r>
      <w:r w:rsidR="00706F0D" w:rsidRPr="00967A82">
        <w:rPr>
          <w:rFonts w:ascii="Arial" w:hAnsi="Arial" w:cs="Arial"/>
          <w:sz w:val="20"/>
          <w:szCs w:val="20"/>
          <w:lang w:val="en-US"/>
        </w:rPr>
        <w:t xml:space="preserve">. </w:t>
      </w:r>
      <w:r w:rsidRPr="00967A82">
        <w:rPr>
          <w:rFonts w:ascii="Arial" w:hAnsi="Arial" w:cs="Arial"/>
          <w:sz w:val="20"/>
          <w:szCs w:val="20"/>
          <w:lang w:val="en-US"/>
        </w:rPr>
        <w:t xml:space="preserve">Attractive risk-adjusted returns are </w:t>
      </w:r>
      <w:r w:rsidR="00706F0D" w:rsidRPr="00967A82">
        <w:rPr>
          <w:rFonts w:ascii="Arial" w:hAnsi="Arial" w:cs="Arial"/>
          <w:sz w:val="20"/>
          <w:szCs w:val="20"/>
          <w:lang w:val="en-US"/>
        </w:rPr>
        <w:t xml:space="preserve">also </w:t>
      </w:r>
      <w:r w:rsidRPr="00967A82">
        <w:rPr>
          <w:rFonts w:ascii="Arial" w:hAnsi="Arial" w:cs="Arial"/>
          <w:sz w:val="20"/>
          <w:szCs w:val="20"/>
          <w:lang w:val="en-US"/>
        </w:rPr>
        <w:t xml:space="preserve">still available for investors in the outlet mall </w:t>
      </w:r>
      <w:r w:rsidR="000C4F51" w:rsidRPr="00967A82">
        <w:rPr>
          <w:rFonts w:ascii="Arial" w:hAnsi="Arial" w:cs="Arial"/>
          <w:sz w:val="20"/>
          <w:szCs w:val="20"/>
          <w:lang w:val="en-US"/>
        </w:rPr>
        <w:t xml:space="preserve">segment </w:t>
      </w:r>
      <w:r w:rsidRPr="00967A82">
        <w:rPr>
          <w:rFonts w:ascii="Arial" w:hAnsi="Arial" w:cs="Arial"/>
          <w:sz w:val="20"/>
          <w:szCs w:val="20"/>
          <w:lang w:val="en-US"/>
        </w:rPr>
        <w:t xml:space="preserve">in Western Europe. </w:t>
      </w:r>
    </w:p>
    <w:p w14:paraId="718C6D88" w14:textId="77777777" w:rsidR="00751D96" w:rsidRPr="00967A82" w:rsidRDefault="00751D96" w:rsidP="00967A82">
      <w:pPr>
        <w:pStyle w:val="Bullet"/>
        <w:numPr>
          <w:ilvl w:val="0"/>
          <w:numId w:val="0"/>
        </w:numPr>
        <w:spacing w:afterLines="60" w:after="144" w:line="360" w:lineRule="auto"/>
        <w:ind w:right="283"/>
        <w:jc w:val="both"/>
        <w:rPr>
          <w:rFonts w:cs="Arial"/>
          <w:color w:val="auto"/>
          <w:sz w:val="20"/>
        </w:rPr>
      </w:pPr>
      <w:r w:rsidRPr="00967A82">
        <w:rPr>
          <w:rFonts w:cs="Arial"/>
          <w:color w:val="auto"/>
          <w:sz w:val="20"/>
        </w:rPr>
        <w:t>Key picks:</w:t>
      </w:r>
    </w:p>
    <w:p w14:paraId="3352E1A9" w14:textId="30CDF19B" w:rsidR="00751D96" w:rsidRPr="00967A82" w:rsidRDefault="000C4F51"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l</w:t>
      </w:r>
      <w:r w:rsidR="00751D96" w:rsidRPr="00967A82">
        <w:rPr>
          <w:rFonts w:eastAsia="Times New Roman" w:cs="Arial"/>
          <w:color w:val="auto"/>
          <w:sz w:val="20"/>
        </w:rPr>
        <w:t>arger food</w:t>
      </w:r>
      <w:r w:rsidRPr="00967A82">
        <w:rPr>
          <w:rFonts w:eastAsia="Times New Roman" w:cs="Arial"/>
          <w:color w:val="auto"/>
          <w:sz w:val="20"/>
        </w:rPr>
        <w:t>-</w:t>
      </w:r>
      <w:r w:rsidR="00751D96" w:rsidRPr="00967A82">
        <w:rPr>
          <w:rFonts w:eastAsia="Times New Roman" w:cs="Arial"/>
          <w:color w:val="auto"/>
          <w:sz w:val="20"/>
        </w:rPr>
        <w:t xml:space="preserve">anchored retail parks and </w:t>
      </w:r>
      <w:proofErr w:type="spellStart"/>
      <w:r w:rsidR="003F210F" w:rsidRPr="00967A82">
        <w:rPr>
          <w:rFonts w:eastAsia="Times New Roman" w:cs="Arial"/>
          <w:color w:val="auto"/>
          <w:sz w:val="20"/>
        </w:rPr>
        <w:t>neighbourhood</w:t>
      </w:r>
      <w:proofErr w:type="spellEnd"/>
      <w:r w:rsidR="00751D96" w:rsidRPr="00967A82">
        <w:rPr>
          <w:rFonts w:eastAsia="Times New Roman" w:cs="Arial"/>
          <w:color w:val="auto"/>
          <w:sz w:val="20"/>
        </w:rPr>
        <w:t xml:space="preserve"> </w:t>
      </w:r>
      <w:proofErr w:type="spellStart"/>
      <w:r w:rsidR="00751D96" w:rsidRPr="00967A82">
        <w:rPr>
          <w:rFonts w:eastAsia="Times New Roman" w:cs="Arial"/>
          <w:color w:val="auto"/>
          <w:sz w:val="20"/>
        </w:rPr>
        <w:t>centres</w:t>
      </w:r>
      <w:proofErr w:type="spellEnd"/>
      <w:r w:rsidR="00751D96" w:rsidRPr="00967A82">
        <w:rPr>
          <w:rFonts w:eastAsia="Times New Roman" w:cs="Arial"/>
          <w:color w:val="auto"/>
          <w:sz w:val="20"/>
        </w:rPr>
        <w:t xml:space="preserve"> in metropolitan areas of Tier 1 and Tier 2 cities across Europe</w:t>
      </w:r>
    </w:p>
    <w:p w14:paraId="0DA7CF90" w14:textId="67BA8499" w:rsidR="00751D96" w:rsidRPr="00967A82" w:rsidRDefault="000C4F51"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d</w:t>
      </w:r>
      <w:r w:rsidR="00751D96" w:rsidRPr="00967A82">
        <w:rPr>
          <w:rFonts w:eastAsia="Times New Roman" w:cs="Arial"/>
          <w:color w:val="auto"/>
          <w:sz w:val="20"/>
        </w:rPr>
        <w:t>aily goods and grocery retail formats such as supermarkets and food discounters in urban areas across Europe</w:t>
      </w:r>
    </w:p>
    <w:p w14:paraId="79D27F81" w14:textId="797DD1BF" w:rsidR="00751D96" w:rsidRPr="00967A82" w:rsidRDefault="000C4F51"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d</w:t>
      </w:r>
      <w:r w:rsidR="00751D96" w:rsidRPr="00967A82">
        <w:rPr>
          <w:rFonts w:eastAsia="Times New Roman" w:cs="Arial"/>
          <w:color w:val="auto"/>
          <w:sz w:val="20"/>
        </w:rPr>
        <w:t xml:space="preserve">estination and convenience segments of the outlet </w:t>
      </w:r>
      <w:proofErr w:type="spellStart"/>
      <w:r w:rsidR="00751D96" w:rsidRPr="00967A82">
        <w:rPr>
          <w:rFonts w:eastAsia="Times New Roman" w:cs="Arial"/>
          <w:color w:val="auto"/>
          <w:sz w:val="20"/>
        </w:rPr>
        <w:t>centre</w:t>
      </w:r>
      <w:proofErr w:type="spellEnd"/>
      <w:r w:rsidR="00751D96" w:rsidRPr="00967A82">
        <w:rPr>
          <w:rFonts w:eastAsia="Times New Roman" w:cs="Arial"/>
          <w:color w:val="auto"/>
          <w:sz w:val="20"/>
        </w:rPr>
        <w:t xml:space="preserve"> market in Western Europe</w:t>
      </w:r>
    </w:p>
    <w:p w14:paraId="1B7280E9" w14:textId="77777777" w:rsidR="00751D96" w:rsidRPr="00967A82" w:rsidRDefault="00751D96" w:rsidP="00967A82">
      <w:pPr>
        <w:pStyle w:val="Bullet"/>
        <w:numPr>
          <w:ilvl w:val="0"/>
          <w:numId w:val="0"/>
        </w:numPr>
        <w:spacing w:afterLines="60" w:after="144" w:line="360" w:lineRule="auto"/>
        <w:ind w:right="283"/>
        <w:jc w:val="both"/>
        <w:rPr>
          <w:rFonts w:cs="Arial"/>
          <w:color w:val="auto"/>
          <w:sz w:val="20"/>
        </w:rPr>
      </w:pPr>
    </w:p>
    <w:p w14:paraId="36901457" w14:textId="55494C02" w:rsidR="00060321" w:rsidRPr="00967A82" w:rsidRDefault="00060321" w:rsidP="00967A82">
      <w:pPr>
        <w:pStyle w:val="Bullet"/>
        <w:numPr>
          <w:ilvl w:val="0"/>
          <w:numId w:val="0"/>
        </w:numPr>
        <w:spacing w:afterLines="60" w:after="144" w:line="360" w:lineRule="auto"/>
        <w:ind w:right="283"/>
        <w:jc w:val="both"/>
        <w:rPr>
          <w:rFonts w:cs="Arial"/>
          <w:color w:val="auto"/>
          <w:sz w:val="20"/>
        </w:rPr>
      </w:pPr>
      <w:r w:rsidRPr="00967A82">
        <w:rPr>
          <w:rFonts w:cs="Arial"/>
          <w:b/>
          <w:bCs/>
          <w:color w:val="auto"/>
          <w:sz w:val="20"/>
        </w:rPr>
        <w:t>Offices</w:t>
      </w:r>
      <w:r w:rsidR="00E6573A" w:rsidRPr="00967A82">
        <w:rPr>
          <w:rFonts w:cs="Arial"/>
          <w:b/>
          <w:bCs/>
          <w:color w:val="auto"/>
          <w:sz w:val="20"/>
        </w:rPr>
        <w:t xml:space="preserve"> are here to stay</w:t>
      </w:r>
    </w:p>
    <w:p w14:paraId="488B98E6" w14:textId="50E7A135" w:rsidR="00151434" w:rsidRPr="00967A82" w:rsidRDefault="008169E7"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A</w:t>
      </w:r>
      <w:r w:rsidR="00151434" w:rsidRPr="00967A82">
        <w:rPr>
          <w:rFonts w:ascii="Arial" w:hAnsi="Arial" w:cs="Arial"/>
          <w:sz w:val="20"/>
          <w:szCs w:val="20"/>
          <w:lang w:val="en-US"/>
        </w:rPr>
        <w:t xml:space="preserve">lthough </w:t>
      </w:r>
      <w:r w:rsidR="000412BC" w:rsidRPr="00967A82">
        <w:rPr>
          <w:rFonts w:ascii="Arial" w:hAnsi="Arial" w:cs="Arial"/>
          <w:sz w:val="20"/>
          <w:szCs w:val="20"/>
          <w:lang w:val="en-US"/>
        </w:rPr>
        <w:t>only 16% of real estate investors see investment in CBD offices increasing in 2021 and 43% see it decreasin</w:t>
      </w:r>
      <w:r w:rsidR="00CC714C" w:rsidRPr="00967A82">
        <w:rPr>
          <w:rFonts w:ascii="Arial" w:hAnsi="Arial" w:cs="Arial"/>
          <w:sz w:val="20"/>
          <w:szCs w:val="20"/>
          <w:lang w:val="en-US"/>
        </w:rPr>
        <w:t>g,</w:t>
      </w:r>
      <w:r w:rsidR="00CC714C" w:rsidRPr="00967A82">
        <w:rPr>
          <w:rFonts w:ascii="Arial" w:hAnsi="Arial" w:cs="Arial"/>
          <w:sz w:val="20"/>
          <w:szCs w:val="20"/>
          <w:vertAlign w:val="superscript"/>
          <w:lang w:val="en-US"/>
        </w:rPr>
        <w:t>1</w:t>
      </w:r>
      <w:r w:rsidR="000412BC" w:rsidRPr="00967A82">
        <w:rPr>
          <w:rFonts w:ascii="Arial" w:hAnsi="Arial" w:cs="Arial"/>
          <w:sz w:val="20"/>
          <w:szCs w:val="20"/>
          <w:lang w:val="en-US"/>
        </w:rPr>
        <w:t xml:space="preserve"> </w:t>
      </w:r>
      <w:r w:rsidR="00CC714C" w:rsidRPr="00967A82">
        <w:rPr>
          <w:rFonts w:ascii="Arial" w:hAnsi="Arial" w:cs="Arial"/>
          <w:sz w:val="20"/>
          <w:szCs w:val="20"/>
          <w:lang w:val="en-US"/>
        </w:rPr>
        <w:t>Savills IM believes</w:t>
      </w:r>
      <w:r w:rsidR="000C4F51" w:rsidRPr="00967A82">
        <w:rPr>
          <w:rFonts w:ascii="Arial" w:hAnsi="Arial" w:cs="Arial"/>
          <w:sz w:val="20"/>
          <w:szCs w:val="20"/>
          <w:lang w:val="en-US"/>
        </w:rPr>
        <w:t xml:space="preserve"> that</w:t>
      </w:r>
      <w:r w:rsidR="00CC714C" w:rsidRPr="00967A82">
        <w:rPr>
          <w:rFonts w:ascii="Arial" w:hAnsi="Arial" w:cs="Arial"/>
          <w:sz w:val="20"/>
          <w:szCs w:val="20"/>
          <w:lang w:val="en-US"/>
        </w:rPr>
        <w:t xml:space="preserve"> those </w:t>
      </w:r>
      <w:r w:rsidRPr="00967A82">
        <w:rPr>
          <w:rFonts w:ascii="Arial" w:hAnsi="Arial" w:cs="Arial"/>
          <w:sz w:val="20"/>
          <w:szCs w:val="20"/>
          <w:lang w:val="en-US"/>
        </w:rPr>
        <w:t>assets</w:t>
      </w:r>
      <w:r w:rsidR="00151434" w:rsidRPr="00967A82">
        <w:rPr>
          <w:rFonts w:ascii="Arial" w:hAnsi="Arial" w:cs="Arial"/>
          <w:sz w:val="20"/>
          <w:szCs w:val="20"/>
          <w:lang w:val="en-US"/>
        </w:rPr>
        <w:t xml:space="preserve"> </w:t>
      </w:r>
      <w:r w:rsidR="00403462" w:rsidRPr="00967A82">
        <w:rPr>
          <w:rFonts w:ascii="Arial" w:hAnsi="Arial" w:cs="Arial"/>
          <w:sz w:val="20"/>
          <w:szCs w:val="20"/>
          <w:lang w:val="en-US"/>
        </w:rPr>
        <w:t xml:space="preserve">that are efficient, accessible and offer strong amenities </w:t>
      </w:r>
      <w:r w:rsidR="00151434" w:rsidRPr="00967A82">
        <w:rPr>
          <w:rFonts w:ascii="Arial" w:hAnsi="Arial" w:cs="Arial"/>
          <w:sz w:val="20"/>
          <w:szCs w:val="20"/>
          <w:lang w:val="en-US"/>
        </w:rPr>
        <w:t xml:space="preserve">in locations with good transport links </w:t>
      </w:r>
      <w:r w:rsidR="00403462" w:rsidRPr="00967A82">
        <w:rPr>
          <w:rFonts w:ascii="Arial" w:hAnsi="Arial" w:cs="Arial"/>
          <w:sz w:val="20"/>
          <w:szCs w:val="20"/>
          <w:lang w:val="en-US"/>
        </w:rPr>
        <w:t>are likely to perform better in the long-term</w:t>
      </w:r>
      <w:r w:rsidR="00151434" w:rsidRPr="00967A82">
        <w:rPr>
          <w:rFonts w:ascii="Arial" w:hAnsi="Arial" w:cs="Arial"/>
          <w:sz w:val="20"/>
          <w:szCs w:val="20"/>
          <w:lang w:val="en-US"/>
        </w:rPr>
        <w:t>. Face-to-face office collaboration facilitates knowledge spillovers, learning and mentoring; improves creativity; and enhances productivity. The office is also a hub for social interaction</w:t>
      </w:r>
      <w:r w:rsidR="000C4F51" w:rsidRPr="00967A82">
        <w:rPr>
          <w:rFonts w:ascii="Arial" w:hAnsi="Arial" w:cs="Arial"/>
          <w:sz w:val="20"/>
          <w:szCs w:val="20"/>
          <w:lang w:val="en-US"/>
        </w:rPr>
        <w:t xml:space="preserve">, fueling </w:t>
      </w:r>
      <w:r w:rsidR="00151434" w:rsidRPr="00967A82">
        <w:rPr>
          <w:rFonts w:ascii="Arial" w:hAnsi="Arial" w:cs="Arial"/>
          <w:sz w:val="20"/>
          <w:szCs w:val="20"/>
          <w:lang w:val="en-US"/>
        </w:rPr>
        <w:t xml:space="preserve">a </w:t>
      </w:r>
      <w:r w:rsidR="000C4F51" w:rsidRPr="00967A82">
        <w:rPr>
          <w:rFonts w:ascii="Arial" w:hAnsi="Arial" w:cs="Arial"/>
          <w:sz w:val="20"/>
          <w:szCs w:val="20"/>
          <w:lang w:val="en-US"/>
        </w:rPr>
        <w:t>collaborative</w:t>
      </w:r>
      <w:r w:rsidR="00C66A65" w:rsidRPr="00967A82">
        <w:rPr>
          <w:rFonts w:ascii="Arial" w:hAnsi="Arial" w:cs="Arial"/>
          <w:sz w:val="20"/>
          <w:szCs w:val="20"/>
          <w:lang w:val="en-US"/>
        </w:rPr>
        <w:t xml:space="preserve"> and productive</w:t>
      </w:r>
      <w:r w:rsidR="000C4F51" w:rsidRPr="00967A82">
        <w:rPr>
          <w:rFonts w:ascii="Arial" w:hAnsi="Arial" w:cs="Arial"/>
          <w:sz w:val="20"/>
          <w:szCs w:val="20"/>
          <w:lang w:val="en-US"/>
        </w:rPr>
        <w:t xml:space="preserve"> </w:t>
      </w:r>
      <w:r w:rsidR="00151434" w:rsidRPr="00967A82">
        <w:rPr>
          <w:rFonts w:ascii="Arial" w:hAnsi="Arial" w:cs="Arial"/>
          <w:sz w:val="20"/>
          <w:szCs w:val="20"/>
          <w:lang w:val="en-US"/>
        </w:rPr>
        <w:t>company culture.</w:t>
      </w:r>
    </w:p>
    <w:p w14:paraId="1EE048F4" w14:textId="77777777" w:rsidR="00060321" w:rsidRPr="00967A82" w:rsidRDefault="00060321" w:rsidP="00967A82">
      <w:pPr>
        <w:pStyle w:val="Bullet"/>
        <w:numPr>
          <w:ilvl w:val="0"/>
          <w:numId w:val="0"/>
        </w:numPr>
        <w:spacing w:afterLines="60" w:after="144" w:line="360" w:lineRule="auto"/>
        <w:ind w:right="283"/>
        <w:jc w:val="both"/>
        <w:rPr>
          <w:rFonts w:cs="Arial"/>
          <w:color w:val="auto"/>
          <w:sz w:val="20"/>
        </w:rPr>
      </w:pPr>
      <w:r w:rsidRPr="00967A82">
        <w:rPr>
          <w:rFonts w:cs="Arial"/>
          <w:color w:val="auto"/>
          <w:sz w:val="20"/>
        </w:rPr>
        <w:t>Key picks:</w:t>
      </w:r>
    </w:p>
    <w:p w14:paraId="445AE0A5" w14:textId="6757F1B9" w:rsidR="004067C6" w:rsidRPr="00967A82" w:rsidRDefault="00C66A65"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m</w:t>
      </w:r>
      <w:r w:rsidR="004067C6" w:rsidRPr="00967A82">
        <w:rPr>
          <w:rFonts w:eastAsia="Times New Roman" w:cs="Arial"/>
          <w:color w:val="auto"/>
          <w:sz w:val="20"/>
        </w:rPr>
        <w:t>ulti-let core/core</w:t>
      </w:r>
      <w:r w:rsidRPr="00967A82">
        <w:rPr>
          <w:rFonts w:eastAsia="Times New Roman" w:cs="Arial"/>
          <w:color w:val="auto"/>
          <w:sz w:val="20"/>
        </w:rPr>
        <w:t>-</w:t>
      </w:r>
      <w:r w:rsidR="004067C6" w:rsidRPr="00967A82">
        <w:rPr>
          <w:rFonts w:eastAsia="Times New Roman" w:cs="Arial"/>
          <w:color w:val="auto"/>
          <w:sz w:val="20"/>
        </w:rPr>
        <w:t>plus office buildings near transport hubs in CBD locations and well-established city f</w:t>
      </w:r>
      <w:r w:rsidR="00AD5086" w:rsidRPr="00967A82">
        <w:rPr>
          <w:rFonts w:eastAsia="Times New Roman" w:cs="Arial"/>
          <w:color w:val="auto"/>
          <w:sz w:val="20"/>
        </w:rPr>
        <w:t xml:space="preserve">ringe locations across </w:t>
      </w:r>
      <w:r w:rsidR="004067C6" w:rsidRPr="00967A82">
        <w:rPr>
          <w:rFonts w:eastAsia="Times New Roman" w:cs="Arial"/>
          <w:color w:val="auto"/>
          <w:sz w:val="20"/>
        </w:rPr>
        <w:t>Europe</w:t>
      </w:r>
    </w:p>
    <w:p w14:paraId="6D68E95D" w14:textId="552FBFA1" w:rsidR="004067C6" w:rsidRPr="00967A82" w:rsidRDefault="00C66A65" w:rsidP="00967A82">
      <w:pPr>
        <w:pStyle w:val="Bullet"/>
        <w:numPr>
          <w:ilvl w:val="0"/>
          <w:numId w:val="13"/>
        </w:numPr>
        <w:spacing w:afterLines="60" w:after="144" w:line="360" w:lineRule="auto"/>
        <w:ind w:left="714" w:right="284" w:hanging="357"/>
        <w:contextualSpacing/>
        <w:jc w:val="both"/>
        <w:rPr>
          <w:rFonts w:eastAsia="Times New Roman" w:cs="Arial"/>
          <w:color w:val="auto"/>
          <w:sz w:val="20"/>
        </w:rPr>
      </w:pPr>
      <w:r w:rsidRPr="00967A82">
        <w:rPr>
          <w:rFonts w:eastAsia="Times New Roman" w:cs="Arial"/>
          <w:color w:val="auto"/>
          <w:sz w:val="20"/>
        </w:rPr>
        <w:t>l</w:t>
      </w:r>
      <w:r w:rsidR="004067C6" w:rsidRPr="00967A82">
        <w:rPr>
          <w:rFonts w:eastAsia="Times New Roman" w:cs="Arial"/>
          <w:color w:val="auto"/>
          <w:sz w:val="20"/>
        </w:rPr>
        <w:t>ong-income core office opportunities in regional cities mainly in Germany,</w:t>
      </w:r>
      <w:r w:rsidR="00AD5086" w:rsidRPr="00967A82">
        <w:rPr>
          <w:rFonts w:eastAsia="Times New Roman" w:cs="Arial"/>
          <w:color w:val="auto"/>
          <w:sz w:val="20"/>
        </w:rPr>
        <w:t xml:space="preserve"> France</w:t>
      </w:r>
      <w:r w:rsidR="004067C6" w:rsidRPr="00967A82">
        <w:rPr>
          <w:rFonts w:eastAsia="Times New Roman" w:cs="Arial"/>
          <w:color w:val="auto"/>
          <w:sz w:val="20"/>
        </w:rPr>
        <w:t xml:space="preserve"> the Netherlands and Poland</w:t>
      </w:r>
    </w:p>
    <w:p w14:paraId="0C2A1B17" w14:textId="77777777" w:rsidR="00060321" w:rsidRPr="00967A82" w:rsidRDefault="00060321" w:rsidP="00967A82">
      <w:pPr>
        <w:pStyle w:val="Bullet"/>
        <w:numPr>
          <w:ilvl w:val="0"/>
          <w:numId w:val="0"/>
        </w:numPr>
        <w:spacing w:afterLines="60" w:after="144" w:line="360" w:lineRule="auto"/>
        <w:ind w:right="283"/>
        <w:jc w:val="both"/>
        <w:rPr>
          <w:rFonts w:cs="Arial"/>
          <w:color w:val="auto"/>
          <w:sz w:val="20"/>
        </w:rPr>
      </w:pPr>
    </w:p>
    <w:p w14:paraId="17E7B977" w14:textId="06F703B9" w:rsidR="004067C6" w:rsidRPr="00967A82" w:rsidRDefault="00157E60" w:rsidP="00967A82">
      <w:pPr>
        <w:pStyle w:val="Bullet"/>
        <w:numPr>
          <w:ilvl w:val="0"/>
          <w:numId w:val="0"/>
        </w:numPr>
        <w:spacing w:afterLines="60" w:after="144" w:line="360" w:lineRule="auto"/>
        <w:ind w:right="283"/>
        <w:jc w:val="both"/>
        <w:rPr>
          <w:rFonts w:cs="Arial"/>
          <w:b/>
          <w:bCs/>
          <w:color w:val="auto"/>
          <w:sz w:val="20"/>
        </w:rPr>
      </w:pPr>
      <w:r w:rsidRPr="00967A82">
        <w:rPr>
          <w:rFonts w:cs="Arial"/>
          <w:b/>
          <w:bCs/>
          <w:color w:val="auto"/>
          <w:sz w:val="20"/>
        </w:rPr>
        <w:lastRenderedPageBreak/>
        <w:t>‘Living’</w:t>
      </w:r>
      <w:r w:rsidR="00C66A65" w:rsidRPr="00967A82">
        <w:rPr>
          <w:rFonts w:cs="Arial"/>
          <w:b/>
          <w:bCs/>
          <w:color w:val="auto"/>
          <w:sz w:val="20"/>
        </w:rPr>
        <w:t>-</w:t>
      </w:r>
      <w:r w:rsidRPr="00967A82">
        <w:rPr>
          <w:rFonts w:cs="Arial"/>
          <w:b/>
          <w:bCs/>
          <w:color w:val="auto"/>
          <w:sz w:val="20"/>
        </w:rPr>
        <w:t>focused a</w:t>
      </w:r>
      <w:r w:rsidR="004067C6" w:rsidRPr="00967A82">
        <w:rPr>
          <w:rFonts w:cs="Arial"/>
          <w:b/>
          <w:bCs/>
          <w:color w:val="auto"/>
          <w:sz w:val="20"/>
        </w:rPr>
        <w:t>lternatives</w:t>
      </w:r>
      <w:r w:rsidRPr="00967A82">
        <w:rPr>
          <w:rFonts w:cs="Arial"/>
          <w:b/>
          <w:bCs/>
          <w:color w:val="auto"/>
          <w:sz w:val="20"/>
        </w:rPr>
        <w:t xml:space="preserve"> are on the rise</w:t>
      </w:r>
    </w:p>
    <w:p w14:paraId="7EAF83B1" w14:textId="0B5FBE3E" w:rsidR="00151434" w:rsidRPr="00967A82" w:rsidRDefault="00151434"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 xml:space="preserve">Alternatives such as senior care and student accommodation </w:t>
      </w:r>
      <w:r w:rsidR="00C66A65" w:rsidRPr="00967A82">
        <w:rPr>
          <w:rFonts w:ascii="Arial" w:hAnsi="Arial" w:cs="Arial"/>
          <w:sz w:val="20"/>
          <w:szCs w:val="20"/>
          <w:lang w:val="en-US"/>
        </w:rPr>
        <w:t xml:space="preserve">are </w:t>
      </w:r>
      <w:r w:rsidRPr="00967A82">
        <w:rPr>
          <w:rFonts w:ascii="Arial" w:hAnsi="Arial" w:cs="Arial"/>
          <w:sz w:val="20"/>
          <w:szCs w:val="20"/>
          <w:lang w:val="en-US"/>
        </w:rPr>
        <w:t>a strong buy for investors who want to add value-add elements to their portfolios. The strong demand characteristics associated with an aging population on the one hand and the higher education</w:t>
      </w:r>
      <w:r w:rsidR="00C66A65" w:rsidRPr="00967A82">
        <w:rPr>
          <w:rFonts w:ascii="Arial" w:hAnsi="Arial" w:cs="Arial"/>
          <w:sz w:val="20"/>
          <w:szCs w:val="20"/>
          <w:lang w:val="en-US"/>
        </w:rPr>
        <w:t xml:space="preserve"> sector</w:t>
      </w:r>
      <w:r w:rsidRPr="00967A82">
        <w:rPr>
          <w:rFonts w:ascii="Arial" w:hAnsi="Arial" w:cs="Arial"/>
          <w:sz w:val="20"/>
          <w:szCs w:val="20"/>
          <w:lang w:val="en-US"/>
        </w:rPr>
        <w:t xml:space="preserve"> on the other have not changed.</w:t>
      </w:r>
    </w:p>
    <w:p w14:paraId="5FFF974A" w14:textId="4750706F" w:rsidR="007D5405" w:rsidRPr="00967A82" w:rsidRDefault="007D5405" w:rsidP="00967A82">
      <w:pPr>
        <w:pStyle w:val="Bullet"/>
        <w:numPr>
          <w:ilvl w:val="0"/>
          <w:numId w:val="0"/>
        </w:numPr>
        <w:spacing w:afterLines="60" w:after="144" w:line="360" w:lineRule="auto"/>
        <w:ind w:right="283"/>
        <w:jc w:val="both"/>
        <w:rPr>
          <w:rFonts w:cs="Arial"/>
          <w:color w:val="auto"/>
          <w:sz w:val="20"/>
        </w:rPr>
      </w:pPr>
      <w:r w:rsidRPr="00967A82">
        <w:rPr>
          <w:rFonts w:cs="Arial"/>
          <w:color w:val="auto"/>
          <w:sz w:val="20"/>
        </w:rPr>
        <w:t>Key picks:</w:t>
      </w:r>
    </w:p>
    <w:p w14:paraId="4CD02759" w14:textId="407F8140" w:rsidR="00A42C1E" w:rsidRPr="00967A82" w:rsidRDefault="00C66A65" w:rsidP="00967A82">
      <w:pPr>
        <w:pStyle w:val="Bullet"/>
        <w:numPr>
          <w:ilvl w:val="0"/>
          <w:numId w:val="13"/>
        </w:numPr>
        <w:spacing w:afterLines="60" w:after="144" w:line="360" w:lineRule="auto"/>
        <w:ind w:right="283"/>
        <w:jc w:val="both"/>
        <w:rPr>
          <w:rFonts w:eastAsia="Times New Roman" w:cs="Arial"/>
          <w:color w:val="auto"/>
          <w:sz w:val="20"/>
        </w:rPr>
      </w:pPr>
      <w:r w:rsidRPr="00967A82">
        <w:rPr>
          <w:rFonts w:eastAsia="Times New Roman" w:cs="Arial"/>
          <w:color w:val="auto"/>
          <w:sz w:val="20"/>
        </w:rPr>
        <w:t>r</w:t>
      </w:r>
      <w:r w:rsidR="004067C6" w:rsidRPr="00967A82">
        <w:rPr>
          <w:rFonts w:eastAsia="Times New Roman" w:cs="Arial"/>
          <w:color w:val="auto"/>
          <w:sz w:val="20"/>
        </w:rPr>
        <w:t>esidential, particularly build-to-</w:t>
      </w:r>
      <w:r w:rsidR="005770FE" w:rsidRPr="00967A82">
        <w:rPr>
          <w:rFonts w:eastAsia="Times New Roman" w:cs="Arial"/>
          <w:color w:val="auto"/>
          <w:sz w:val="20"/>
        </w:rPr>
        <w:t xml:space="preserve">rent </w:t>
      </w:r>
      <w:r w:rsidR="004067C6" w:rsidRPr="00967A82">
        <w:rPr>
          <w:rFonts w:eastAsia="Times New Roman" w:cs="Arial"/>
          <w:color w:val="auto"/>
          <w:sz w:val="20"/>
        </w:rPr>
        <w:t>multi-family buildings and student accommodation</w:t>
      </w:r>
      <w:r w:rsidRPr="00967A82">
        <w:rPr>
          <w:rFonts w:eastAsia="Times New Roman" w:cs="Arial"/>
          <w:color w:val="auto"/>
          <w:sz w:val="20"/>
        </w:rPr>
        <w:t>,</w:t>
      </w:r>
      <w:r w:rsidR="004067C6" w:rsidRPr="00967A82">
        <w:rPr>
          <w:rFonts w:eastAsia="Times New Roman" w:cs="Arial"/>
          <w:color w:val="auto"/>
          <w:sz w:val="20"/>
        </w:rPr>
        <w:t xml:space="preserve"> </w:t>
      </w:r>
      <w:r w:rsidR="0032080A" w:rsidRPr="00967A82">
        <w:rPr>
          <w:rFonts w:eastAsia="Times New Roman" w:cs="Arial"/>
          <w:color w:val="auto"/>
          <w:sz w:val="20"/>
        </w:rPr>
        <w:t xml:space="preserve">particularly </w:t>
      </w:r>
      <w:r w:rsidR="004067C6" w:rsidRPr="00967A82">
        <w:rPr>
          <w:rFonts w:eastAsia="Times New Roman" w:cs="Arial"/>
          <w:color w:val="auto"/>
          <w:sz w:val="20"/>
        </w:rPr>
        <w:t xml:space="preserve">in the UK, and healthcare and senior care facilities </w:t>
      </w:r>
      <w:r w:rsidRPr="00967A82">
        <w:rPr>
          <w:rFonts w:eastAsia="Times New Roman" w:cs="Arial"/>
          <w:color w:val="auto"/>
          <w:sz w:val="20"/>
        </w:rPr>
        <w:t>(</w:t>
      </w:r>
      <w:r w:rsidR="0032080A" w:rsidRPr="00967A82">
        <w:rPr>
          <w:rFonts w:eastAsia="Times New Roman" w:cs="Arial"/>
          <w:color w:val="auto"/>
          <w:sz w:val="20"/>
        </w:rPr>
        <w:t xml:space="preserve">e.g. </w:t>
      </w:r>
      <w:r w:rsidR="004067C6" w:rsidRPr="00967A82">
        <w:rPr>
          <w:rFonts w:eastAsia="Times New Roman" w:cs="Arial"/>
          <w:color w:val="auto"/>
          <w:sz w:val="20"/>
        </w:rPr>
        <w:t>in Italy</w:t>
      </w:r>
      <w:r w:rsidRPr="00967A82">
        <w:rPr>
          <w:rFonts w:eastAsia="Times New Roman" w:cs="Arial"/>
          <w:color w:val="auto"/>
          <w:sz w:val="20"/>
        </w:rPr>
        <w:t>)</w:t>
      </w:r>
      <w:r w:rsidR="004067C6" w:rsidRPr="00967A82">
        <w:rPr>
          <w:rFonts w:eastAsia="Times New Roman" w:cs="Arial"/>
          <w:color w:val="auto"/>
          <w:sz w:val="20"/>
        </w:rPr>
        <w:t>, providing long-term, stable income returns</w:t>
      </w:r>
    </w:p>
    <w:p w14:paraId="768E58E0" w14:textId="6F8F8C6F" w:rsidR="00967A82" w:rsidRPr="00967A82" w:rsidRDefault="00356E53" w:rsidP="00967A82">
      <w:pPr>
        <w:spacing w:before="100" w:beforeAutospacing="1" w:afterLines="60" w:after="144" w:line="360" w:lineRule="auto"/>
        <w:jc w:val="both"/>
        <w:rPr>
          <w:rFonts w:ascii="Arial" w:hAnsi="Arial" w:cs="Arial"/>
          <w:sz w:val="20"/>
          <w:szCs w:val="20"/>
          <w:lang w:val="en-US"/>
        </w:rPr>
      </w:pPr>
      <w:r w:rsidRPr="00967A82">
        <w:rPr>
          <w:rFonts w:ascii="Arial" w:hAnsi="Arial" w:cs="Arial"/>
          <w:sz w:val="20"/>
          <w:szCs w:val="20"/>
          <w:lang w:val="en-US"/>
        </w:rPr>
        <w:t>Savills IM’s 2021 outlook report</w:t>
      </w:r>
      <w:r w:rsidR="00701080">
        <w:rPr>
          <w:rFonts w:ascii="Arial" w:hAnsi="Arial" w:cs="Arial"/>
          <w:sz w:val="20"/>
          <w:szCs w:val="20"/>
          <w:lang w:val="en-US"/>
        </w:rPr>
        <w:t xml:space="preserve"> is available at: </w:t>
      </w:r>
      <w:hyperlink r:id="rId11" w:history="1">
        <w:r w:rsidR="00701080" w:rsidRPr="00C641E2">
          <w:rPr>
            <w:rStyle w:val="Hipercze"/>
            <w:rFonts w:ascii="Arial" w:hAnsi="Arial" w:cs="Arial"/>
            <w:sz w:val="20"/>
            <w:szCs w:val="20"/>
            <w:lang w:val="en-US"/>
          </w:rPr>
          <w:t>https://www.savillsim.com/research/outlook-2021.aspx</w:t>
        </w:r>
      </w:hyperlink>
      <w:r w:rsidR="00701080">
        <w:rPr>
          <w:rFonts w:ascii="Arial" w:hAnsi="Arial" w:cs="Arial"/>
          <w:sz w:val="20"/>
          <w:szCs w:val="20"/>
          <w:lang w:val="en-US"/>
        </w:rPr>
        <w:t xml:space="preserve"> </w:t>
      </w:r>
      <w:bookmarkStart w:id="0" w:name="_GoBack"/>
      <w:bookmarkEnd w:id="0"/>
    </w:p>
    <w:p w14:paraId="0059B5A4" w14:textId="15CB4E16" w:rsidR="00631BDF" w:rsidRPr="002219C2" w:rsidRDefault="00697B41" w:rsidP="002219C2">
      <w:pPr>
        <w:spacing w:before="100" w:beforeAutospacing="1" w:after="100" w:afterAutospacing="1"/>
        <w:jc w:val="both"/>
        <w:rPr>
          <w:rFonts w:ascii="Arial" w:hAnsi="Arial" w:cs="Arial"/>
          <w:sz w:val="18"/>
          <w:szCs w:val="18"/>
          <w:lang w:eastAsia="en-US"/>
        </w:rPr>
      </w:pPr>
      <w:r>
        <w:rPr>
          <w:rFonts w:ascii="Arial" w:hAnsi="Arial" w:cs="Arial"/>
          <w:b/>
          <w:bCs/>
          <w:color w:val="333333"/>
          <w:sz w:val="18"/>
          <w:szCs w:val="18"/>
          <w:vertAlign w:val="superscript"/>
          <w:lang w:val="en-US"/>
        </w:rPr>
        <w:t>1</w:t>
      </w:r>
      <w:r w:rsidR="000579F0" w:rsidRPr="000579F0">
        <w:rPr>
          <w:rFonts w:ascii="Arial" w:hAnsi="Arial" w:cs="Arial"/>
          <w:b/>
          <w:bCs/>
          <w:color w:val="333333"/>
          <w:sz w:val="18"/>
          <w:szCs w:val="18"/>
          <w:lang w:val="en-US"/>
        </w:rPr>
        <w:t xml:space="preserve">Source: </w:t>
      </w:r>
      <w:r w:rsidR="00631BDF" w:rsidRPr="00631BDF">
        <w:rPr>
          <w:rFonts w:ascii="Arial" w:hAnsi="Arial" w:cs="Arial"/>
          <w:sz w:val="18"/>
          <w:szCs w:val="18"/>
          <w:lang w:eastAsia="en-US"/>
        </w:rPr>
        <w:t xml:space="preserve">Research conducted on behalf of Savills Investment Management by </w:t>
      </w:r>
      <w:proofErr w:type="spellStart"/>
      <w:r w:rsidR="00631BDF" w:rsidRPr="00631BDF">
        <w:rPr>
          <w:rFonts w:ascii="Arial" w:hAnsi="Arial" w:cs="Arial"/>
          <w:sz w:val="18"/>
          <w:szCs w:val="18"/>
          <w:lang w:eastAsia="en-US"/>
        </w:rPr>
        <w:t>PollRight</w:t>
      </w:r>
      <w:proofErr w:type="spellEnd"/>
      <w:r w:rsidR="00631BDF" w:rsidRPr="00631BDF">
        <w:rPr>
          <w:rFonts w:ascii="Arial" w:hAnsi="Arial" w:cs="Arial"/>
          <w:sz w:val="18"/>
          <w:szCs w:val="18"/>
          <w:lang w:eastAsia="en-US"/>
        </w:rPr>
        <w:t xml:space="preserve"> among 122 institutional investors in October 2020. Investors came from a global database centred around North America, the UK and </w:t>
      </w:r>
      <w:r w:rsidR="00C66A65">
        <w:rPr>
          <w:rFonts w:ascii="Arial" w:hAnsi="Arial" w:cs="Arial"/>
          <w:sz w:val="18"/>
          <w:szCs w:val="18"/>
          <w:lang w:eastAsia="en-US"/>
        </w:rPr>
        <w:t>C</w:t>
      </w:r>
      <w:r w:rsidR="00631BDF" w:rsidRPr="00631BDF">
        <w:rPr>
          <w:rFonts w:ascii="Arial" w:hAnsi="Arial" w:cs="Arial"/>
          <w:sz w:val="18"/>
          <w:szCs w:val="18"/>
          <w:lang w:eastAsia="en-US"/>
        </w:rPr>
        <w:t>ontinental Europe, and held an average AUM of £18.9 billion ($25 billion) in real estate investments.</w:t>
      </w:r>
    </w:p>
    <w:p w14:paraId="66211E4E" w14:textId="63F56401" w:rsidR="00A82DEF" w:rsidRPr="001F3382" w:rsidRDefault="00A82DEF" w:rsidP="00A82DEF">
      <w:pPr>
        <w:pStyle w:val="Akapitzlist"/>
        <w:numPr>
          <w:ilvl w:val="0"/>
          <w:numId w:val="2"/>
        </w:numPr>
        <w:spacing w:line="360" w:lineRule="auto"/>
        <w:jc w:val="center"/>
        <w:rPr>
          <w:rFonts w:ascii="Arial" w:eastAsia="Times New Roman" w:hAnsi="Arial" w:cs="Arial"/>
          <w:bCs/>
          <w:sz w:val="20"/>
          <w:szCs w:val="20"/>
        </w:rPr>
      </w:pPr>
      <w:r w:rsidRPr="00A82DEF">
        <w:rPr>
          <w:rFonts w:ascii="Arial" w:eastAsia="Times New Roman" w:hAnsi="Arial" w:cs="Times New Roman"/>
          <w:b/>
        </w:rPr>
        <w:t>E</w:t>
      </w:r>
      <w:r w:rsidR="00BD364C" w:rsidRPr="00A82DEF">
        <w:rPr>
          <w:rFonts w:ascii="Arial" w:eastAsia="Times New Roman" w:hAnsi="Arial" w:cs="Times New Roman"/>
          <w:b/>
        </w:rPr>
        <w:t>nds</w:t>
      </w:r>
      <w:r w:rsidR="00C07F11">
        <w:rPr>
          <w:rFonts w:ascii="Arial" w:eastAsia="Times New Roman" w:hAnsi="Arial" w:cs="Times New Roman"/>
          <w:b/>
        </w:rPr>
        <w:tab/>
      </w:r>
      <w:r w:rsidRPr="001F3382">
        <w:rPr>
          <w:rFonts w:ascii="Arial" w:eastAsia="Times New Roman" w:hAnsi="Arial" w:cs="Times New Roman"/>
          <w:bCs/>
        </w:rPr>
        <w:t>-</w:t>
      </w:r>
    </w:p>
    <w:p w14:paraId="1F948741" w14:textId="77777777" w:rsidR="00BD364C" w:rsidRPr="00A82DEF" w:rsidRDefault="00BD364C" w:rsidP="00DF10B0">
      <w:pPr>
        <w:spacing w:line="360" w:lineRule="auto"/>
        <w:jc w:val="both"/>
        <w:rPr>
          <w:rFonts w:ascii="Arial" w:eastAsia="Times New Roman" w:hAnsi="Arial" w:cs="Arial"/>
          <w:b/>
          <w:bCs/>
          <w:sz w:val="20"/>
          <w:szCs w:val="20"/>
        </w:rPr>
      </w:pPr>
      <w:r w:rsidRPr="00A82DEF">
        <w:rPr>
          <w:rFonts w:ascii="Arial" w:eastAsia="Times New Roman" w:hAnsi="Arial" w:cs="Arial"/>
          <w:b/>
          <w:bCs/>
          <w:sz w:val="20"/>
          <w:szCs w:val="20"/>
        </w:rPr>
        <w:t>Press contact</w:t>
      </w:r>
    </w:p>
    <w:p w14:paraId="330B2742" w14:textId="77777777" w:rsidR="00FF20C4" w:rsidRDefault="00FF20C4" w:rsidP="00BD364C">
      <w:pPr>
        <w:adjustRightInd w:val="0"/>
        <w:rPr>
          <w:rFonts w:ascii="Arial" w:eastAsia="Times New Roman" w:hAnsi="Arial" w:cs="Arial"/>
          <w:bCs/>
          <w:sz w:val="20"/>
          <w:szCs w:val="20"/>
          <w:lang w:val="pl-PL" w:eastAsia="en-US"/>
        </w:rPr>
      </w:pPr>
      <w:r w:rsidRPr="00FF20C4">
        <w:rPr>
          <w:rFonts w:ascii="Arial" w:eastAsia="Times New Roman" w:hAnsi="Arial" w:cs="Arial"/>
          <w:bCs/>
          <w:sz w:val="20"/>
          <w:szCs w:val="20"/>
          <w:lang w:val="pl-PL" w:eastAsia="en-US"/>
        </w:rPr>
        <w:t xml:space="preserve">Krzysztof </w:t>
      </w:r>
      <w:r>
        <w:rPr>
          <w:rFonts w:ascii="Arial" w:eastAsia="Times New Roman" w:hAnsi="Arial" w:cs="Arial"/>
          <w:bCs/>
          <w:sz w:val="20"/>
          <w:szCs w:val="20"/>
          <w:lang w:val="pl-PL" w:eastAsia="en-US"/>
        </w:rPr>
        <w:t>Wielgus</w:t>
      </w:r>
    </w:p>
    <w:p w14:paraId="749E12EE" w14:textId="4DEDD08A" w:rsidR="00BD364C" w:rsidRPr="00BD364C" w:rsidRDefault="00BD364C" w:rsidP="00BD364C">
      <w:pPr>
        <w:adjustRightInd w:val="0"/>
        <w:rPr>
          <w:rFonts w:ascii="Arial" w:eastAsia="Times New Roman" w:hAnsi="Arial" w:cs="Arial"/>
          <w:bCs/>
          <w:sz w:val="20"/>
          <w:szCs w:val="20"/>
          <w:lang w:val="it-IT" w:eastAsia="en-US"/>
        </w:rPr>
      </w:pPr>
      <w:r w:rsidRPr="00BD364C">
        <w:rPr>
          <w:rFonts w:ascii="Arial" w:eastAsia="Times New Roman" w:hAnsi="Arial" w:cs="Arial"/>
          <w:b/>
          <w:bCs/>
          <w:sz w:val="20"/>
          <w:szCs w:val="20"/>
          <w:lang w:val="it-IT" w:eastAsia="en-US"/>
        </w:rPr>
        <w:t>E:</w:t>
      </w:r>
      <w:r w:rsidRPr="00BD364C">
        <w:rPr>
          <w:rFonts w:ascii="Arial" w:eastAsia="Times New Roman" w:hAnsi="Arial" w:cs="Arial"/>
          <w:bCs/>
          <w:sz w:val="20"/>
          <w:szCs w:val="20"/>
          <w:lang w:val="it-IT" w:eastAsia="en-US"/>
        </w:rPr>
        <w:t xml:space="preserve"> </w:t>
      </w:r>
      <w:hyperlink r:id="rId12" w:history="1">
        <w:r w:rsidR="00FF20C4" w:rsidRPr="00496A23">
          <w:rPr>
            <w:rStyle w:val="Hipercze"/>
            <w:rFonts w:ascii="Arial" w:eastAsia="Times New Roman" w:hAnsi="Arial" w:cs="Arial"/>
            <w:bCs/>
            <w:sz w:val="20"/>
            <w:szCs w:val="20"/>
            <w:lang w:val="it-IT" w:eastAsia="en-US"/>
          </w:rPr>
          <w:t>kwielgus@advancedpr.pl</w:t>
        </w:r>
      </w:hyperlink>
      <w:r w:rsidR="00FF20C4">
        <w:rPr>
          <w:rStyle w:val="Hipercze"/>
          <w:rFonts w:ascii="Arial" w:eastAsia="Times New Roman" w:hAnsi="Arial" w:cs="Arial"/>
          <w:bCs/>
          <w:sz w:val="20"/>
          <w:szCs w:val="20"/>
          <w:lang w:val="it-IT" w:eastAsia="en-US"/>
        </w:rPr>
        <w:t xml:space="preserve"> </w:t>
      </w:r>
    </w:p>
    <w:p w14:paraId="6F491C16" w14:textId="77777777" w:rsidR="00BD364C" w:rsidRPr="007D1816" w:rsidRDefault="00BD364C" w:rsidP="00BD364C">
      <w:pPr>
        <w:spacing w:line="360" w:lineRule="auto"/>
        <w:jc w:val="both"/>
        <w:rPr>
          <w:rFonts w:ascii="Arial" w:eastAsia="Times New Roman" w:hAnsi="Arial" w:cs="Times New Roman"/>
          <w:lang w:val="it-IT"/>
        </w:rPr>
      </w:pPr>
    </w:p>
    <w:p w14:paraId="74408B83" w14:textId="77777777" w:rsidR="004D2A9E" w:rsidRDefault="004D2A9E" w:rsidP="004D2A9E">
      <w:pPr>
        <w:rPr>
          <w:rFonts w:ascii="Arial" w:eastAsia="Arial" w:hAnsi="Arial" w:cs="Arial"/>
          <w:b/>
          <w:sz w:val="18"/>
          <w:szCs w:val="18"/>
        </w:rPr>
      </w:pPr>
      <w:r>
        <w:rPr>
          <w:rFonts w:ascii="Arial" w:eastAsia="Arial" w:hAnsi="Arial" w:cs="Arial"/>
          <w:b/>
          <w:sz w:val="18"/>
          <w:szCs w:val="18"/>
        </w:rPr>
        <w:t>About Savills Investment Management</w:t>
      </w:r>
      <w:r>
        <w:rPr>
          <w:rFonts w:ascii="Arial" w:eastAsia="Arial" w:hAnsi="Arial" w:cs="Arial"/>
          <w:b/>
          <w:sz w:val="18"/>
          <w:szCs w:val="18"/>
        </w:rPr>
        <w:br/>
      </w:r>
    </w:p>
    <w:p w14:paraId="6B351D58" w14:textId="35A2EECA" w:rsidR="004D2A9E" w:rsidRPr="004D2A9E" w:rsidRDefault="004D2A9E" w:rsidP="004D2A9E">
      <w:pPr>
        <w:pStyle w:val="Akapitzlist"/>
        <w:numPr>
          <w:ilvl w:val="0"/>
          <w:numId w:val="5"/>
        </w:numPr>
        <w:spacing w:after="120"/>
        <w:ind w:left="567" w:hanging="567"/>
        <w:jc w:val="both"/>
        <w:rPr>
          <w:rFonts w:eastAsia="Calibri"/>
          <w:sz w:val="18"/>
          <w:szCs w:val="18"/>
        </w:rPr>
      </w:pPr>
      <w:r w:rsidRPr="004D2A9E">
        <w:rPr>
          <w:rFonts w:ascii="Arial" w:eastAsia="Arial" w:hAnsi="Arial" w:cs="Arial"/>
          <w:sz w:val="18"/>
          <w:szCs w:val="18"/>
        </w:rPr>
        <w:t>Savills Investment Management is an international real estate investment manager with offices in Amsterdam, Frankfurt, Ha</w:t>
      </w:r>
      <w:r>
        <w:rPr>
          <w:rFonts w:ascii="Arial" w:eastAsia="Arial" w:hAnsi="Arial" w:cs="Arial"/>
          <w:sz w:val="18"/>
          <w:szCs w:val="18"/>
        </w:rPr>
        <w:softHyphen/>
      </w:r>
      <w:r>
        <w:rPr>
          <w:rFonts w:ascii="Arial" w:eastAsia="Arial" w:hAnsi="Arial" w:cs="Arial"/>
          <w:sz w:val="18"/>
          <w:szCs w:val="18"/>
        </w:rPr>
        <w:softHyphen/>
      </w:r>
      <w:r>
        <w:rPr>
          <w:rFonts w:ascii="Arial" w:eastAsia="Arial" w:hAnsi="Arial" w:cs="Arial"/>
          <w:sz w:val="18"/>
          <w:szCs w:val="18"/>
        </w:rPr>
        <w:softHyphen/>
      </w:r>
      <w:r>
        <w:rPr>
          <w:rFonts w:ascii="Arial" w:eastAsia="Arial" w:hAnsi="Arial" w:cs="Arial"/>
          <w:sz w:val="18"/>
          <w:szCs w:val="18"/>
        </w:rPr>
        <w:softHyphen/>
      </w:r>
      <w:r>
        <w:rPr>
          <w:rFonts w:ascii="Arial" w:eastAsia="Arial" w:hAnsi="Arial" w:cs="Arial"/>
          <w:sz w:val="18"/>
          <w:szCs w:val="18"/>
        </w:rPr>
        <w:softHyphen/>
      </w:r>
      <w:r>
        <w:rPr>
          <w:rFonts w:ascii="Arial" w:eastAsia="Arial" w:hAnsi="Arial" w:cs="Arial"/>
          <w:sz w:val="18"/>
          <w:szCs w:val="18"/>
        </w:rPr>
        <w:softHyphen/>
      </w:r>
      <w:r>
        <w:rPr>
          <w:rFonts w:ascii="Arial" w:eastAsia="Arial" w:hAnsi="Arial" w:cs="Arial"/>
          <w:sz w:val="18"/>
          <w:szCs w:val="18"/>
        </w:rPr>
        <w:softHyphen/>
      </w:r>
      <w:r w:rsidRPr="004D2A9E">
        <w:rPr>
          <w:rFonts w:ascii="Arial" w:eastAsia="Arial" w:hAnsi="Arial" w:cs="Arial"/>
          <w:sz w:val="18"/>
          <w:szCs w:val="18"/>
        </w:rPr>
        <w:t>mburg, St Helier, Katowice, London, Luxembourg, Madrid, Milan, Munich, Paris, Singapore, Stockholm, Sydney, Tokyo and Warsaw.</w:t>
      </w:r>
    </w:p>
    <w:p w14:paraId="1CB33221" w14:textId="77777777" w:rsidR="00C000A5" w:rsidRPr="00940375" w:rsidRDefault="00C000A5" w:rsidP="00C000A5">
      <w:pPr>
        <w:pStyle w:val="Akapitzlist"/>
        <w:numPr>
          <w:ilvl w:val="0"/>
          <w:numId w:val="5"/>
        </w:numPr>
        <w:spacing w:after="120"/>
        <w:ind w:left="567" w:hanging="567"/>
        <w:jc w:val="both"/>
        <w:rPr>
          <w:sz w:val="18"/>
          <w:szCs w:val="18"/>
        </w:rPr>
      </w:pPr>
      <w:r w:rsidRPr="00940375">
        <w:rPr>
          <w:rFonts w:ascii="Arial" w:eastAsia="Arial" w:hAnsi="Arial" w:cs="Arial"/>
          <w:sz w:val="18"/>
          <w:szCs w:val="18"/>
        </w:rPr>
        <w:t>As at 3</w:t>
      </w:r>
      <w:r>
        <w:rPr>
          <w:rFonts w:ascii="Arial" w:eastAsia="Arial" w:hAnsi="Arial" w:cs="Arial"/>
          <w:sz w:val="18"/>
          <w:szCs w:val="18"/>
        </w:rPr>
        <w:t>0</w:t>
      </w:r>
      <w:r w:rsidRPr="00940375">
        <w:rPr>
          <w:rFonts w:ascii="Arial" w:eastAsia="Arial" w:hAnsi="Arial" w:cs="Arial"/>
          <w:sz w:val="18"/>
          <w:szCs w:val="18"/>
        </w:rPr>
        <w:t xml:space="preserve"> </w:t>
      </w:r>
      <w:r>
        <w:rPr>
          <w:rFonts w:ascii="Arial" w:eastAsia="Arial" w:hAnsi="Arial" w:cs="Arial"/>
          <w:sz w:val="18"/>
          <w:szCs w:val="18"/>
        </w:rPr>
        <w:t>June</w:t>
      </w:r>
      <w:r w:rsidRPr="00940375">
        <w:rPr>
          <w:rFonts w:ascii="Arial" w:eastAsia="Arial" w:hAnsi="Arial" w:cs="Arial"/>
          <w:sz w:val="18"/>
          <w:szCs w:val="18"/>
        </w:rPr>
        <w:t xml:space="preserve"> 2020, Savills Investment Management managed total assets of around </w:t>
      </w:r>
      <w:r>
        <w:rPr>
          <w:rFonts w:ascii="Arial" w:eastAsia="Arial" w:hAnsi="Arial" w:cs="Arial"/>
          <w:sz w:val="18"/>
          <w:szCs w:val="18"/>
        </w:rPr>
        <w:t xml:space="preserve">EUR </w:t>
      </w:r>
      <w:r w:rsidRPr="00940375">
        <w:rPr>
          <w:rFonts w:ascii="Arial" w:eastAsia="Arial" w:hAnsi="Arial" w:cs="Arial"/>
          <w:sz w:val="18"/>
          <w:szCs w:val="18"/>
        </w:rPr>
        <w:t>20.5 billion.</w:t>
      </w:r>
    </w:p>
    <w:p w14:paraId="5992043C" w14:textId="79094811" w:rsidR="004D2A9E" w:rsidRPr="004D2A9E" w:rsidRDefault="004D2A9E" w:rsidP="004D2A9E">
      <w:pPr>
        <w:pStyle w:val="Akapitzlist"/>
        <w:numPr>
          <w:ilvl w:val="0"/>
          <w:numId w:val="5"/>
        </w:numPr>
        <w:spacing w:after="120"/>
        <w:ind w:left="567" w:hanging="567"/>
        <w:jc w:val="both"/>
        <w:rPr>
          <w:color w:val="000000"/>
          <w:sz w:val="18"/>
          <w:szCs w:val="18"/>
        </w:rPr>
      </w:pPr>
      <w:r w:rsidRPr="004D2A9E">
        <w:rPr>
          <w:rFonts w:ascii="Arial" w:eastAsia="Arial" w:hAnsi="Arial" w:cs="Arial"/>
          <w:sz w:val="18"/>
          <w:szCs w:val="18"/>
        </w:rPr>
        <w:t>Savills Investment Management is the brand name used to represent Savills Investment Management</w:t>
      </w:r>
      <w:r w:rsidRPr="004D2A9E">
        <w:rPr>
          <w:color w:val="000000"/>
          <w:sz w:val="18"/>
          <w:szCs w:val="18"/>
        </w:rPr>
        <w:t xml:space="preserve"> </w:t>
      </w:r>
      <w:r w:rsidRPr="004D2A9E">
        <w:rPr>
          <w:rFonts w:ascii="Arial" w:eastAsia="Arial" w:hAnsi="Arial" w:cs="Arial"/>
          <w:sz w:val="18"/>
          <w:szCs w:val="18"/>
        </w:rPr>
        <w:t>LLP and its subsidiaries.</w:t>
      </w:r>
    </w:p>
    <w:p w14:paraId="51B95813" w14:textId="77777777" w:rsidR="004D2A9E" w:rsidRPr="004D2A9E" w:rsidRDefault="004D2A9E" w:rsidP="004D2A9E">
      <w:pPr>
        <w:pStyle w:val="Akapitzlist"/>
        <w:numPr>
          <w:ilvl w:val="0"/>
          <w:numId w:val="5"/>
        </w:numPr>
        <w:spacing w:after="120"/>
        <w:ind w:left="567" w:hanging="567"/>
        <w:jc w:val="both"/>
        <w:rPr>
          <w:sz w:val="18"/>
          <w:szCs w:val="18"/>
        </w:rPr>
      </w:pPr>
      <w:r w:rsidRPr="004D2A9E">
        <w:rPr>
          <w:rFonts w:ascii="Arial" w:eastAsia="Arial" w:hAnsi="Arial" w:cs="Arial"/>
          <w:sz w:val="18"/>
          <w:szCs w:val="18"/>
        </w:rPr>
        <w:t xml:space="preserve">Savills Investment Management LLP is a limited liability partnership registered in England No: OC306423 regulated by the Financial Conduct Authority. </w:t>
      </w:r>
    </w:p>
    <w:p w14:paraId="4E74A86B" w14:textId="77777777" w:rsidR="004D2A9E" w:rsidRDefault="004D2A9E" w:rsidP="004D2A9E">
      <w:pPr>
        <w:pStyle w:val="Akapitzlist"/>
        <w:numPr>
          <w:ilvl w:val="0"/>
          <w:numId w:val="5"/>
        </w:numPr>
        <w:spacing w:after="120"/>
        <w:ind w:left="567" w:hanging="567"/>
        <w:jc w:val="both"/>
      </w:pPr>
      <w:r w:rsidRPr="004D2A9E">
        <w:rPr>
          <w:rFonts w:ascii="Arial" w:eastAsia="Arial" w:hAnsi="Arial" w:cs="Arial"/>
          <w:sz w:val="18"/>
          <w:szCs w:val="18"/>
        </w:rPr>
        <w:t>Savills Investment Management is regulated in the UK, Italy, Germany, Jersey, Japan and Luxembourg.</w:t>
      </w:r>
    </w:p>
    <w:p w14:paraId="5B2C6F84" w14:textId="58F27BD4" w:rsidR="00BD5D4A" w:rsidRPr="00BD5D4A" w:rsidRDefault="00BD5D4A" w:rsidP="00BD5D4A">
      <w:pPr>
        <w:pStyle w:val="paragraph"/>
        <w:spacing w:before="0" w:beforeAutospacing="0" w:after="0" w:afterAutospacing="0"/>
        <w:textAlignment w:val="baseline"/>
        <w:rPr>
          <w:rFonts w:ascii="Arial" w:hAnsi="Arial" w:cs="Arial"/>
          <w:sz w:val="18"/>
          <w:szCs w:val="18"/>
          <w:lang w:val="en-GB"/>
        </w:rPr>
      </w:pPr>
    </w:p>
    <w:sectPr w:rsidR="00BD5D4A" w:rsidRPr="00BD5D4A" w:rsidSect="0081680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2E97" w14:textId="77777777" w:rsidR="00FA61FA" w:rsidRDefault="00FA61FA" w:rsidP="00BD364C">
      <w:r>
        <w:separator/>
      </w:r>
    </w:p>
  </w:endnote>
  <w:endnote w:type="continuationSeparator" w:id="0">
    <w:p w14:paraId="4944AF1D" w14:textId="77777777" w:rsidR="00FA61FA" w:rsidRDefault="00FA61FA" w:rsidP="00BD364C">
      <w:r>
        <w:continuationSeparator/>
      </w:r>
    </w:p>
  </w:endnote>
  <w:endnote w:type="continuationNotice" w:id="1">
    <w:p w14:paraId="48CA5DDC" w14:textId="77777777" w:rsidR="00FA61FA" w:rsidRDefault="00FA6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FA6E" w14:textId="77777777" w:rsidR="00FA61FA" w:rsidRDefault="00FA61FA" w:rsidP="00BD364C">
      <w:r>
        <w:separator/>
      </w:r>
    </w:p>
  </w:footnote>
  <w:footnote w:type="continuationSeparator" w:id="0">
    <w:p w14:paraId="3CA0A787" w14:textId="77777777" w:rsidR="00FA61FA" w:rsidRDefault="00FA61FA" w:rsidP="00BD364C">
      <w:r>
        <w:continuationSeparator/>
      </w:r>
    </w:p>
  </w:footnote>
  <w:footnote w:type="continuationNotice" w:id="1">
    <w:p w14:paraId="2A407950" w14:textId="77777777" w:rsidR="00FA61FA" w:rsidRDefault="00FA6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7036F" w14:textId="77777777" w:rsidR="000470F8" w:rsidRDefault="000470F8">
    <w:pPr>
      <w:pStyle w:val="Nagwek"/>
    </w:pPr>
    <w:r>
      <w:rPr>
        <w:noProof/>
        <w:lang w:val="pl-PL" w:eastAsia="pl-PL"/>
      </w:rPr>
      <w:drawing>
        <wp:inline distT="0" distB="0" distL="0" distR="0" wp14:anchorId="13D4BF00" wp14:editId="63B00EAE">
          <wp:extent cx="1823085" cy="597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97535"/>
                  </a:xfrm>
                  <a:prstGeom prst="rect">
                    <a:avLst/>
                  </a:prstGeom>
                  <a:noFill/>
                </pic:spPr>
              </pic:pic>
            </a:graphicData>
          </a:graphic>
        </wp:inline>
      </w:drawing>
    </w:r>
    <w:r>
      <w:t xml:space="preserve"> </w:t>
    </w:r>
    <w:r>
      <w:tab/>
    </w:r>
    <w:r>
      <w:tab/>
    </w:r>
    <w:r w:rsidRPr="00BD364C">
      <w:rPr>
        <w:rFonts w:ascii="Arial" w:hAnsi="Arial" w:cs="Arial"/>
        <w:b/>
      </w:rPr>
      <w:t>PRESS RELEASE</w:t>
    </w:r>
  </w:p>
  <w:p w14:paraId="775B653B" w14:textId="77777777" w:rsidR="000470F8" w:rsidRDefault="0004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077"/>
    <w:multiLevelType w:val="multilevel"/>
    <w:tmpl w:val="1A7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F04FC"/>
    <w:multiLevelType w:val="hybridMultilevel"/>
    <w:tmpl w:val="E8688FC4"/>
    <w:lvl w:ilvl="0" w:tplc="8D30009A">
      <w:start w:val="1"/>
      <w:numFmt w:val="bullet"/>
      <w:lvlText w:val=""/>
      <w:lvlJc w:val="left"/>
      <w:pPr>
        <w:tabs>
          <w:tab w:val="num" w:pos="720"/>
        </w:tabs>
        <w:ind w:left="720" w:hanging="360"/>
      </w:pPr>
      <w:rPr>
        <w:rFonts w:ascii="Symbol" w:hAnsi="Symbol" w:hint="default"/>
        <w:sz w:val="20"/>
      </w:rPr>
    </w:lvl>
    <w:lvl w:ilvl="1" w:tplc="528C3AE0" w:tentative="1">
      <w:start w:val="1"/>
      <w:numFmt w:val="bullet"/>
      <w:lvlText w:val="o"/>
      <w:lvlJc w:val="left"/>
      <w:pPr>
        <w:tabs>
          <w:tab w:val="num" w:pos="1440"/>
        </w:tabs>
        <w:ind w:left="1440" w:hanging="360"/>
      </w:pPr>
      <w:rPr>
        <w:rFonts w:ascii="Courier New" w:hAnsi="Courier New" w:hint="default"/>
        <w:sz w:val="20"/>
      </w:rPr>
    </w:lvl>
    <w:lvl w:ilvl="2" w:tplc="33046C94" w:tentative="1">
      <w:start w:val="1"/>
      <w:numFmt w:val="bullet"/>
      <w:lvlText w:val=""/>
      <w:lvlJc w:val="left"/>
      <w:pPr>
        <w:tabs>
          <w:tab w:val="num" w:pos="2160"/>
        </w:tabs>
        <w:ind w:left="2160" w:hanging="360"/>
      </w:pPr>
      <w:rPr>
        <w:rFonts w:ascii="Wingdings" w:hAnsi="Wingdings" w:hint="default"/>
        <w:sz w:val="20"/>
      </w:rPr>
    </w:lvl>
    <w:lvl w:ilvl="3" w:tplc="F5045FBE" w:tentative="1">
      <w:start w:val="1"/>
      <w:numFmt w:val="bullet"/>
      <w:lvlText w:val=""/>
      <w:lvlJc w:val="left"/>
      <w:pPr>
        <w:tabs>
          <w:tab w:val="num" w:pos="2880"/>
        </w:tabs>
        <w:ind w:left="2880" w:hanging="360"/>
      </w:pPr>
      <w:rPr>
        <w:rFonts w:ascii="Wingdings" w:hAnsi="Wingdings" w:hint="default"/>
        <w:sz w:val="20"/>
      </w:rPr>
    </w:lvl>
    <w:lvl w:ilvl="4" w:tplc="89DE93EA" w:tentative="1">
      <w:start w:val="1"/>
      <w:numFmt w:val="bullet"/>
      <w:lvlText w:val=""/>
      <w:lvlJc w:val="left"/>
      <w:pPr>
        <w:tabs>
          <w:tab w:val="num" w:pos="3600"/>
        </w:tabs>
        <w:ind w:left="3600" w:hanging="360"/>
      </w:pPr>
      <w:rPr>
        <w:rFonts w:ascii="Wingdings" w:hAnsi="Wingdings" w:hint="default"/>
        <w:sz w:val="20"/>
      </w:rPr>
    </w:lvl>
    <w:lvl w:ilvl="5" w:tplc="FFE463DE" w:tentative="1">
      <w:start w:val="1"/>
      <w:numFmt w:val="bullet"/>
      <w:lvlText w:val=""/>
      <w:lvlJc w:val="left"/>
      <w:pPr>
        <w:tabs>
          <w:tab w:val="num" w:pos="4320"/>
        </w:tabs>
        <w:ind w:left="4320" w:hanging="360"/>
      </w:pPr>
      <w:rPr>
        <w:rFonts w:ascii="Wingdings" w:hAnsi="Wingdings" w:hint="default"/>
        <w:sz w:val="20"/>
      </w:rPr>
    </w:lvl>
    <w:lvl w:ilvl="6" w:tplc="9702A4F4" w:tentative="1">
      <w:start w:val="1"/>
      <w:numFmt w:val="bullet"/>
      <w:lvlText w:val=""/>
      <w:lvlJc w:val="left"/>
      <w:pPr>
        <w:tabs>
          <w:tab w:val="num" w:pos="5040"/>
        </w:tabs>
        <w:ind w:left="5040" w:hanging="360"/>
      </w:pPr>
      <w:rPr>
        <w:rFonts w:ascii="Wingdings" w:hAnsi="Wingdings" w:hint="default"/>
        <w:sz w:val="20"/>
      </w:rPr>
    </w:lvl>
    <w:lvl w:ilvl="7" w:tplc="B9F452C8" w:tentative="1">
      <w:start w:val="1"/>
      <w:numFmt w:val="bullet"/>
      <w:lvlText w:val=""/>
      <w:lvlJc w:val="left"/>
      <w:pPr>
        <w:tabs>
          <w:tab w:val="num" w:pos="5760"/>
        </w:tabs>
        <w:ind w:left="5760" w:hanging="360"/>
      </w:pPr>
      <w:rPr>
        <w:rFonts w:ascii="Wingdings" w:hAnsi="Wingdings" w:hint="default"/>
        <w:sz w:val="20"/>
      </w:rPr>
    </w:lvl>
    <w:lvl w:ilvl="8" w:tplc="54CEED9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26A5D"/>
    <w:multiLevelType w:val="hybridMultilevel"/>
    <w:tmpl w:val="6CA6A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A1F64"/>
    <w:multiLevelType w:val="hybridMultilevel"/>
    <w:tmpl w:val="D93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231D"/>
    <w:multiLevelType w:val="hybridMultilevel"/>
    <w:tmpl w:val="BA66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AC62D6"/>
    <w:multiLevelType w:val="hybridMultilevel"/>
    <w:tmpl w:val="0668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BD7806"/>
    <w:multiLevelType w:val="hybridMultilevel"/>
    <w:tmpl w:val="FC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C23A8"/>
    <w:multiLevelType w:val="hybridMultilevel"/>
    <w:tmpl w:val="50CC0628"/>
    <w:lvl w:ilvl="0" w:tplc="239A4E1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25535BD"/>
    <w:multiLevelType w:val="hybridMultilevel"/>
    <w:tmpl w:val="D5A4A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B3FB8"/>
    <w:multiLevelType w:val="hybridMultilevel"/>
    <w:tmpl w:val="57B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107AE"/>
    <w:multiLevelType w:val="hybridMultilevel"/>
    <w:tmpl w:val="7E308A44"/>
    <w:lvl w:ilvl="0" w:tplc="BF90749E">
      <w:start w:val="1"/>
      <w:numFmt w:val="bullet"/>
      <w:lvlText w:val="●"/>
      <w:lvlJc w:val="left"/>
      <w:pPr>
        <w:ind w:left="0" w:firstLine="0"/>
      </w:pPr>
      <w:rPr>
        <w:rFonts w:ascii="Noto Sans Symbols" w:eastAsia="Noto Sans Symbols" w:hAnsi="Noto Sans Symbols" w:cs="Noto Sans Symbols"/>
      </w:rPr>
    </w:lvl>
    <w:lvl w:ilvl="1" w:tplc="59AA54E2">
      <w:start w:val="1"/>
      <w:numFmt w:val="decimal"/>
      <w:lvlText w:val="%2."/>
      <w:lvlJc w:val="left"/>
      <w:pPr>
        <w:ind w:left="1440" w:hanging="360"/>
      </w:pPr>
    </w:lvl>
    <w:lvl w:ilvl="2" w:tplc="F008E706">
      <w:start w:val="1"/>
      <w:numFmt w:val="decimal"/>
      <w:lvlText w:val="%3."/>
      <w:lvlJc w:val="left"/>
      <w:pPr>
        <w:ind w:left="2160" w:hanging="360"/>
      </w:pPr>
    </w:lvl>
    <w:lvl w:ilvl="3" w:tplc="818653D0">
      <w:start w:val="1"/>
      <w:numFmt w:val="decimal"/>
      <w:lvlText w:val="%4."/>
      <w:lvlJc w:val="left"/>
      <w:pPr>
        <w:ind w:left="2880" w:hanging="360"/>
      </w:pPr>
    </w:lvl>
    <w:lvl w:ilvl="4" w:tplc="D35E7768">
      <w:start w:val="1"/>
      <w:numFmt w:val="decimal"/>
      <w:lvlText w:val="%5."/>
      <w:lvlJc w:val="left"/>
      <w:pPr>
        <w:ind w:left="3600" w:hanging="360"/>
      </w:pPr>
    </w:lvl>
    <w:lvl w:ilvl="5" w:tplc="44141384">
      <w:start w:val="1"/>
      <w:numFmt w:val="decimal"/>
      <w:lvlText w:val="%6."/>
      <w:lvlJc w:val="left"/>
      <w:pPr>
        <w:ind w:left="4320" w:hanging="360"/>
      </w:pPr>
    </w:lvl>
    <w:lvl w:ilvl="6" w:tplc="23D621D0">
      <w:start w:val="1"/>
      <w:numFmt w:val="decimal"/>
      <w:lvlText w:val="%7."/>
      <w:lvlJc w:val="left"/>
      <w:pPr>
        <w:ind w:left="5040" w:hanging="360"/>
      </w:pPr>
    </w:lvl>
    <w:lvl w:ilvl="7" w:tplc="79BA66A6">
      <w:start w:val="1"/>
      <w:numFmt w:val="decimal"/>
      <w:lvlText w:val="%8."/>
      <w:lvlJc w:val="left"/>
      <w:pPr>
        <w:ind w:left="5760" w:hanging="360"/>
      </w:pPr>
    </w:lvl>
    <w:lvl w:ilvl="8" w:tplc="7690FE78">
      <w:start w:val="1"/>
      <w:numFmt w:val="decimal"/>
      <w:lvlText w:val="%9."/>
      <w:lvlJc w:val="left"/>
      <w:pPr>
        <w:ind w:left="6480" w:hanging="360"/>
      </w:pPr>
    </w:lvl>
  </w:abstractNum>
  <w:abstractNum w:abstractNumId="12" w15:restartNumberingAfterBreak="0">
    <w:nsid w:val="3AB90C5F"/>
    <w:multiLevelType w:val="hybridMultilevel"/>
    <w:tmpl w:val="874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3647C"/>
    <w:multiLevelType w:val="hybridMultilevel"/>
    <w:tmpl w:val="79041FA2"/>
    <w:lvl w:ilvl="0" w:tplc="22766B3C">
      <w:start w:val="1"/>
      <w:numFmt w:val="bullet"/>
      <w:lvlText w:val=""/>
      <w:lvlJc w:val="left"/>
      <w:pPr>
        <w:tabs>
          <w:tab w:val="num" w:pos="720"/>
        </w:tabs>
        <w:ind w:left="720" w:hanging="360"/>
      </w:pPr>
      <w:rPr>
        <w:rFonts w:ascii="Symbol" w:hAnsi="Symbol" w:hint="default"/>
        <w:sz w:val="20"/>
      </w:rPr>
    </w:lvl>
    <w:lvl w:ilvl="1" w:tplc="7974E5F0" w:tentative="1">
      <w:start w:val="1"/>
      <w:numFmt w:val="bullet"/>
      <w:lvlText w:val="o"/>
      <w:lvlJc w:val="left"/>
      <w:pPr>
        <w:tabs>
          <w:tab w:val="num" w:pos="1440"/>
        </w:tabs>
        <w:ind w:left="1440" w:hanging="360"/>
      </w:pPr>
      <w:rPr>
        <w:rFonts w:ascii="Courier New" w:hAnsi="Courier New" w:hint="default"/>
        <w:sz w:val="20"/>
      </w:rPr>
    </w:lvl>
    <w:lvl w:ilvl="2" w:tplc="A93E2510" w:tentative="1">
      <w:start w:val="1"/>
      <w:numFmt w:val="bullet"/>
      <w:lvlText w:val=""/>
      <w:lvlJc w:val="left"/>
      <w:pPr>
        <w:tabs>
          <w:tab w:val="num" w:pos="2160"/>
        </w:tabs>
        <w:ind w:left="2160" w:hanging="360"/>
      </w:pPr>
      <w:rPr>
        <w:rFonts w:ascii="Wingdings" w:hAnsi="Wingdings" w:hint="default"/>
        <w:sz w:val="20"/>
      </w:rPr>
    </w:lvl>
    <w:lvl w:ilvl="3" w:tplc="1F1854B4" w:tentative="1">
      <w:start w:val="1"/>
      <w:numFmt w:val="bullet"/>
      <w:lvlText w:val=""/>
      <w:lvlJc w:val="left"/>
      <w:pPr>
        <w:tabs>
          <w:tab w:val="num" w:pos="2880"/>
        </w:tabs>
        <w:ind w:left="2880" w:hanging="360"/>
      </w:pPr>
      <w:rPr>
        <w:rFonts w:ascii="Wingdings" w:hAnsi="Wingdings" w:hint="default"/>
        <w:sz w:val="20"/>
      </w:rPr>
    </w:lvl>
    <w:lvl w:ilvl="4" w:tplc="074689E0" w:tentative="1">
      <w:start w:val="1"/>
      <w:numFmt w:val="bullet"/>
      <w:lvlText w:val=""/>
      <w:lvlJc w:val="left"/>
      <w:pPr>
        <w:tabs>
          <w:tab w:val="num" w:pos="3600"/>
        </w:tabs>
        <w:ind w:left="3600" w:hanging="360"/>
      </w:pPr>
      <w:rPr>
        <w:rFonts w:ascii="Wingdings" w:hAnsi="Wingdings" w:hint="default"/>
        <w:sz w:val="20"/>
      </w:rPr>
    </w:lvl>
    <w:lvl w:ilvl="5" w:tplc="FD2C4362" w:tentative="1">
      <w:start w:val="1"/>
      <w:numFmt w:val="bullet"/>
      <w:lvlText w:val=""/>
      <w:lvlJc w:val="left"/>
      <w:pPr>
        <w:tabs>
          <w:tab w:val="num" w:pos="4320"/>
        </w:tabs>
        <w:ind w:left="4320" w:hanging="360"/>
      </w:pPr>
      <w:rPr>
        <w:rFonts w:ascii="Wingdings" w:hAnsi="Wingdings" w:hint="default"/>
        <w:sz w:val="20"/>
      </w:rPr>
    </w:lvl>
    <w:lvl w:ilvl="6" w:tplc="7DDCCE86" w:tentative="1">
      <w:start w:val="1"/>
      <w:numFmt w:val="bullet"/>
      <w:lvlText w:val=""/>
      <w:lvlJc w:val="left"/>
      <w:pPr>
        <w:tabs>
          <w:tab w:val="num" w:pos="5040"/>
        </w:tabs>
        <w:ind w:left="5040" w:hanging="360"/>
      </w:pPr>
      <w:rPr>
        <w:rFonts w:ascii="Wingdings" w:hAnsi="Wingdings" w:hint="default"/>
        <w:sz w:val="20"/>
      </w:rPr>
    </w:lvl>
    <w:lvl w:ilvl="7" w:tplc="725A8AA8" w:tentative="1">
      <w:start w:val="1"/>
      <w:numFmt w:val="bullet"/>
      <w:lvlText w:val=""/>
      <w:lvlJc w:val="left"/>
      <w:pPr>
        <w:tabs>
          <w:tab w:val="num" w:pos="5760"/>
        </w:tabs>
        <w:ind w:left="5760" w:hanging="360"/>
      </w:pPr>
      <w:rPr>
        <w:rFonts w:ascii="Wingdings" w:hAnsi="Wingdings" w:hint="default"/>
        <w:sz w:val="20"/>
      </w:rPr>
    </w:lvl>
    <w:lvl w:ilvl="8" w:tplc="E6E455E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B9B7315"/>
    <w:multiLevelType w:val="hybridMultilevel"/>
    <w:tmpl w:val="7E308A44"/>
    <w:lvl w:ilvl="0" w:tplc="5BF6459C">
      <w:start w:val="1"/>
      <w:numFmt w:val="bullet"/>
      <w:lvlText w:val="●"/>
      <w:lvlJc w:val="left"/>
      <w:pPr>
        <w:ind w:left="0" w:firstLine="0"/>
      </w:pPr>
      <w:rPr>
        <w:rFonts w:ascii="Noto Sans Symbols" w:eastAsia="Noto Sans Symbols" w:hAnsi="Noto Sans Symbols" w:cs="Noto Sans Symbols"/>
      </w:rPr>
    </w:lvl>
    <w:lvl w:ilvl="1" w:tplc="FD1A978E">
      <w:start w:val="1"/>
      <w:numFmt w:val="decimal"/>
      <w:lvlText w:val="%2."/>
      <w:lvlJc w:val="left"/>
      <w:pPr>
        <w:ind w:left="1440" w:hanging="360"/>
      </w:pPr>
    </w:lvl>
    <w:lvl w:ilvl="2" w:tplc="C1022334">
      <w:start w:val="1"/>
      <w:numFmt w:val="decimal"/>
      <w:lvlText w:val="%3."/>
      <w:lvlJc w:val="left"/>
      <w:pPr>
        <w:ind w:left="2160" w:hanging="360"/>
      </w:pPr>
    </w:lvl>
    <w:lvl w:ilvl="3" w:tplc="D9E6D9F0">
      <w:start w:val="1"/>
      <w:numFmt w:val="decimal"/>
      <w:lvlText w:val="%4."/>
      <w:lvlJc w:val="left"/>
      <w:pPr>
        <w:ind w:left="2880" w:hanging="360"/>
      </w:pPr>
    </w:lvl>
    <w:lvl w:ilvl="4" w:tplc="7B784F54">
      <w:start w:val="1"/>
      <w:numFmt w:val="decimal"/>
      <w:lvlText w:val="%5."/>
      <w:lvlJc w:val="left"/>
      <w:pPr>
        <w:ind w:left="3600" w:hanging="360"/>
      </w:pPr>
    </w:lvl>
    <w:lvl w:ilvl="5" w:tplc="B628CAC8">
      <w:start w:val="1"/>
      <w:numFmt w:val="decimal"/>
      <w:lvlText w:val="%6."/>
      <w:lvlJc w:val="left"/>
      <w:pPr>
        <w:ind w:left="4320" w:hanging="360"/>
      </w:pPr>
    </w:lvl>
    <w:lvl w:ilvl="6" w:tplc="F93656DC">
      <w:start w:val="1"/>
      <w:numFmt w:val="decimal"/>
      <w:lvlText w:val="%7."/>
      <w:lvlJc w:val="left"/>
      <w:pPr>
        <w:ind w:left="5040" w:hanging="360"/>
      </w:pPr>
    </w:lvl>
    <w:lvl w:ilvl="7" w:tplc="C040D206">
      <w:start w:val="1"/>
      <w:numFmt w:val="decimal"/>
      <w:lvlText w:val="%8."/>
      <w:lvlJc w:val="left"/>
      <w:pPr>
        <w:ind w:left="5760" w:hanging="360"/>
      </w:pPr>
    </w:lvl>
    <w:lvl w:ilvl="8" w:tplc="BBA05E10">
      <w:start w:val="1"/>
      <w:numFmt w:val="decimal"/>
      <w:lvlText w:val="%9."/>
      <w:lvlJc w:val="left"/>
      <w:pPr>
        <w:ind w:left="6480" w:hanging="360"/>
      </w:pPr>
    </w:lvl>
  </w:abstractNum>
  <w:abstractNum w:abstractNumId="16" w15:restartNumberingAfterBreak="0">
    <w:nsid w:val="722E174A"/>
    <w:multiLevelType w:val="hybridMultilevel"/>
    <w:tmpl w:val="6FA81C68"/>
    <w:lvl w:ilvl="0" w:tplc="1C2AE8FC">
      <w:start w:val="1"/>
      <w:numFmt w:val="bullet"/>
      <w:lvlText w:val=""/>
      <w:lvlJc w:val="left"/>
      <w:pPr>
        <w:tabs>
          <w:tab w:val="num" w:pos="720"/>
        </w:tabs>
        <w:ind w:left="720" w:hanging="360"/>
      </w:pPr>
      <w:rPr>
        <w:rFonts w:ascii="Symbol" w:hAnsi="Symbol" w:hint="default"/>
        <w:sz w:val="20"/>
      </w:rPr>
    </w:lvl>
    <w:lvl w:ilvl="1" w:tplc="94029A5A" w:tentative="1">
      <w:start w:val="1"/>
      <w:numFmt w:val="bullet"/>
      <w:lvlText w:val="o"/>
      <w:lvlJc w:val="left"/>
      <w:pPr>
        <w:tabs>
          <w:tab w:val="num" w:pos="1440"/>
        </w:tabs>
        <w:ind w:left="1440" w:hanging="360"/>
      </w:pPr>
      <w:rPr>
        <w:rFonts w:ascii="Courier New" w:hAnsi="Courier New" w:hint="default"/>
        <w:sz w:val="20"/>
      </w:rPr>
    </w:lvl>
    <w:lvl w:ilvl="2" w:tplc="1B0E718C" w:tentative="1">
      <w:start w:val="1"/>
      <w:numFmt w:val="bullet"/>
      <w:lvlText w:val=""/>
      <w:lvlJc w:val="left"/>
      <w:pPr>
        <w:tabs>
          <w:tab w:val="num" w:pos="2160"/>
        </w:tabs>
        <w:ind w:left="2160" w:hanging="360"/>
      </w:pPr>
      <w:rPr>
        <w:rFonts w:ascii="Wingdings" w:hAnsi="Wingdings" w:hint="default"/>
        <w:sz w:val="20"/>
      </w:rPr>
    </w:lvl>
    <w:lvl w:ilvl="3" w:tplc="7550DA56" w:tentative="1">
      <w:start w:val="1"/>
      <w:numFmt w:val="bullet"/>
      <w:lvlText w:val=""/>
      <w:lvlJc w:val="left"/>
      <w:pPr>
        <w:tabs>
          <w:tab w:val="num" w:pos="2880"/>
        </w:tabs>
        <w:ind w:left="2880" w:hanging="360"/>
      </w:pPr>
      <w:rPr>
        <w:rFonts w:ascii="Wingdings" w:hAnsi="Wingdings" w:hint="default"/>
        <w:sz w:val="20"/>
      </w:rPr>
    </w:lvl>
    <w:lvl w:ilvl="4" w:tplc="A7923AF8" w:tentative="1">
      <w:start w:val="1"/>
      <w:numFmt w:val="bullet"/>
      <w:lvlText w:val=""/>
      <w:lvlJc w:val="left"/>
      <w:pPr>
        <w:tabs>
          <w:tab w:val="num" w:pos="3600"/>
        </w:tabs>
        <w:ind w:left="3600" w:hanging="360"/>
      </w:pPr>
      <w:rPr>
        <w:rFonts w:ascii="Wingdings" w:hAnsi="Wingdings" w:hint="default"/>
        <w:sz w:val="20"/>
      </w:rPr>
    </w:lvl>
    <w:lvl w:ilvl="5" w:tplc="9080E958" w:tentative="1">
      <w:start w:val="1"/>
      <w:numFmt w:val="bullet"/>
      <w:lvlText w:val=""/>
      <w:lvlJc w:val="left"/>
      <w:pPr>
        <w:tabs>
          <w:tab w:val="num" w:pos="4320"/>
        </w:tabs>
        <w:ind w:left="4320" w:hanging="360"/>
      </w:pPr>
      <w:rPr>
        <w:rFonts w:ascii="Wingdings" w:hAnsi="Wingdings" w:hint="default"/>
        <w:sz w:val="20"/>
      </w:rPr>
    </w:lvl>
    <w:lvl w:ilvl="6" w:tplc="514E8094" w:tentative="1">
      <w:start w:val="1"/>
      <w:numFmt w:val="bullet"/>
      <w:lvlText w:val=""/>
      <w:lvlJc w:val="left"/>
      <w:pPr>
        <w:tabs>
          <w:tab w:val="num" w:pos="5040"/>
        </w:tabs>
        <w:ind w:left="5040" w:hanging="360"/>
      </w:pPr>
      <w:rPr>
        <w:rFonts w:ascii="Wingdings" w:hAnsi="Wingdings" w:hint="default"/>
        <w:sz w:val="20"/>
      </w:rPr>
    </w:lvl>
    <w:lvl w:ilvl="7" w:tplc="45A2E34C" w:tentative="1">
      <w:start w:val="1"/>
      <w:numFmt w:val="bullet"/>
      <w:lvlText w:val=""/>
      <w:lvlJc w:val="left"/>
      <w:pPr>
        <w:tabs>
          <w:tab w:val="num" w:pos="5760"/>
        </w:tabs>
        <w:ind w:left="5760" w:hanging="360"/>
      </w:pPr>
      <w:rPr>
        <w:rFonts w:ascii="Wingdings" w:hAnsi="Wingdings" w:hint="default"/>
        <w:sz w:val="20"/>
      </w:rPr>
    </w:lvl>
    <w:lvl w:ilvl="8" w:tplc="94169D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907B3"/>
    <w:multiLevelType w:val="hybridMultilevel"/>
    <w:tmpl w:val="217C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5"/>
  </w:num>
  <w:num w:numId="6">
    <w:abstractNumId w:val="16"/>
  </w:num>
  <w:num w:numId="7">
    <w:abstractNumId w:val="0"/>
  </w:num>
  <w:num w:numId="8">
    <w:abstractNumId w:val="13"/>
  </w:num>
  <w:num w:numId="9">
    <w:abstractNumId w:val="2"/>
  </w:num>
  <w:num w:numId="10">
    <w:abstractNumId w:val="17"/>
  </w:num>
  <w:num w:numId="11">
    <w:abstractNumId w:val="6"/>
  </w:num>
  <w:num w:numId="12">
    <w:abstractNumId w:val="1"/>
  </w:num>
  <w:num w:numId="13">
    <w:abstractNumId w:val="18"/>
  </w:num>
  <w:num w:numId="14">
    <w:abstractNumId w:val="7"/>
  </w:num>
  <w:num w:numId="15">
    <w:abstractNumId w:val="1"/>
  </w:num>
  <w:num w:numId="16">
    <w:abstractNumId w:val="1"/>
  </w:num>
  <w:num w:numId="17">
    <w:abstractNumId w:val="10"/>
  </w:num>
  <w:num w:numId="18">
    <w:abstractNumId w:val="1"/>
  </w:num>
  <w:num w:numId="19">
    <w:abstractNumId w:val="4"/>
  </w:num>
  <w:num w:numId="20">
    <w:abstractNumId w:val="1"/>
  </w:num>
  <w:num w:numId="21">
    <w:abstractNumId w:val="1"/>
  </w:num>
  <w:num w:numId="22">
    <w:abstractNumId w:val="1"/>
  </w:num>
  <w:num w:numId="23">
    <w:abstractNumId w:val="1"/>
  </w:num>
  <w:num w:numId="24">
    <w:abstractNumId w:val="3"/>
  </w:num>
  <w:num w:numId="25">
    <w:abstractNumId w:val="1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C"/>
    <w:rsid w:val="0000439C"/>
    <w:rsid w:val="00013410"/>
    <w:rsid w:val="000159D9"/>
    <w:rsid w:val="00021A49"/>
    <w:rsid w:val="00026375"/>
    <w:rsid w:val="000341B8"/>
    <w:rsid w:val="000359D3"/>
    <w:rsid w:val="00036AD7"/>
    <w:rsid w:val="000412BC"/>
    <w:rsid w:val="00045D3D"/>
    <w:rsid w:val="000470F8"/>
    <w:rsid w:val="000579F0"/>
    <w:rsid w:val="00060321"/>
    <w:rsid w:val="0006390E"/>
    <w:rsid w:val="00077450"/>
    <w:rsid w:val="00077E6A"/>
    <w:rsid w:val="000A123C"/>
    <w:rsid w:val="000B1FA4"/>
    <w:rsid w:val="000C42ED"/>
    <w:rsid w:val="000C4F51"/>
    <w:rsid w:val="000C7B9E"/>
    <w:rsid w:val="000D561B"/>
    <w:rsid w:val="001004BC"/>
    <w:rsid w:val="001048AE"/>
    <w:rsid w:val="001138D9"/>
    <w:rsid w:val="00116407"/>
    <w:rsid w:val="001231C2"/>
    <w:rsid w:val="001325C5"/>
    <w:rsid w:val="001353A4"/>
    <w:rsid w:val="0014125F"/>
    <w:rsid w:val="00151434"/>
    <w:rsid w:val="00157E60"/>
    <w:rsid w:val="00160E06"/>
    <w:rsid w:val="001621A8"/>
    <w:rsid w:val="0018044D"/>
    <w:rsid w:val="001804F3"/>
    <w:rsid w:val="001A67BB"/>
    <w:rsid w:val="001B1694"/>
    <w:rsid w:val="001B2034"/>
    <w:rsid w:val="001C08A8"/>
    <w:rsid w:val="001C1E70"/>
    <w:rsid w:val="001D0BC5"/>
    <w:rsid w:val="001E0BF6"/>
    <w:rsid w:val="001E71DD"/>
    <w:rsid w:val="001F2CC4"/>
    <w:rsid w:val="001F3188"/>
    <w:rsid w:val="001F3382"/>
    <w:rsid w:val="00215938"/>
    <w:rsid w:val="00216987"/>
    <w:rsid w:val="002178EE"/>
    <w:rsid w:val="002219C2"/>
    <w:rsid w:val="00221D1E"/>
    <w:rsid w:val="002261ED"/>
    <w:rsid w:val="00230950"/>
    <w:rsid w:val="00233BAB"/>
    <w:rsid w:val="00237EE2"/>
    <w:rsid w:val="00241589"/>
    <w:rsid w:val="00241FF8"/>
    <w:rsid w:val="002462B5"/>
    <w:rsid w:val="002520E7"/>
    <w:rsid w:val="00255240"/>
    <w:rsid w:val="00256CE7"/>
    <w:rsid w:val="00261874"/>
    <w:rsid w:val="00266177"/>
    <w:rsid w:val="00274B4A"/>
    <w:rsid w:val="002806A0"/>
    <w:rsid w:val="002819FA"/>
    <w:rsid w:val="0028255F"/>
    <w:rsid w:val="002834FA"/>
    <w:rsid w:val="002837BA"/>
    <w:rsid w:val="0028470C"/>
    <w:rsid w:val="00285509"/>
    <w:rsid w:val="00293F1B"/>
    <w:rsid w:val="002A0F89"/>
    <w:rsid w:val="002A1377"/>
    <w:rsid w:val="002A590F"/>
    <w:rsid w:val="002A6441"/>
    <w:rsid w:val="002A797A"/>
    <w:rsid w:val="002B51E7"/>
    <w:rsid w:val="002C1B7C"/>
    <w:rsid w:val="002E3440"/>
    <w:rsid w:val="002E47DF"/>
    <w:rsid w:val="002E50C0"/>
    <w:rsid w:val="002E7D0F"/>
    <w:rsid w:val="002F15D8"/>
    <w:rsid w:val="002F37D0"/>
    <w:rsid w:val="00300B3C"/>
    <w:rsid w:val="003016B4"/>
    <w:rsid w:val="00302775"/>
    <w:rsid w:val="00304067"/>
    <w:rsid w:val="00305F75"/>
    <w:rsid w:val="003152D1"/>
    <w:rsid w:val="0032080A"/>
    <w:rsid w:val="00336F88"/>
    <w:rsid w:val="00346CC8"/>
    <w:rsid w:val="00356E53"/>
    <w:rsid w:val="00364F89"/>
    <w:rsid w:val="00366B24"/>
    <w:rsid w:val="00372907"/>
    <w:rsid w:val="00386B4D"/>
    <w:rsid w:val="003A5A8A"/>
    <w:rsid w:val="003B10C7"/>
    <w:rsid w:val="003C68C4"/>
    <w:rsid w:val="003C6E70"/>
    <w:rsid w:val="003D33E7"/>
    <w:rsid w:val="003D5A32"/>
    <w:rsid w:val="003D5E9E"/>
    <w:rsid w:val="003E3288"/>
    <w:rsid w:val="003E60C9"/>
    <w:rsid w:val="003F210F"/>
    <w:rsid w:val="003F28C7"/>
    <w:rsid w:val="00403462"/>
    <w:rsid w:val="004036C3"/>
    <w:rsid w:val="004067C6"/>
    <w:rsid w:val="0041554C"/>
    <w:rsid w:val="00416DD3"/>
    <w:rsid w:val="004208A5"/>
    <w:rsid w:val="00424082"/>
    <w:rsid w:val="004368DB"/>
    <w:rsid w:val="00444B47"/>
    <w:rsid w:val="00451DE4"/>
    <w:rsid w:val="00454C62"/>
    <w:rsid w:val="00462D54"/>
    <w:rsid w:val="00465897"/>
    <w:rsid w:val="004721AD"/>
    <w:rsid w:val="00480807"/>
    <w:rsid w:val="004836FB"/>
    <w:rsid w:val="00483F9D"/>
    <w:rsid w:val="00486E40"/>
    <w:rsid w:val="00495DB3"/>
    <w:rsid w:val="004962E5"/>
    <w:rsid w:val="0049655D"/>
    <w:rsid w:val="004A3725"/>
    <w:rsid w:val="004A5778"/>
    <w:rsid w:val="004B1784"/>
    <w:rsid w:val="004B1A8E"/>
    <w:rsid w:val="004C3C39"/>
    <w:rsid w:val="004C796F"/>
    <w:rsid w:val="004D2A9E"/>
    <w:rsid w:val="004E20A3"/>
    <w:rsid w:val="004E2724"/>
    <w:rsid w:val="004E59B6"/>
    <w:rsid w:val="004F0A2B"/>
    <w:rsid w:val="005044A7"/>
    <w:rsid w:val="00522B52"/>
    <w:rsid w:val="00531B58"/>
    <w:rsid w:val="00532CC7"/>
    <w:rsid w:val="00534B3D"/>
    <w:rsid w:val="00540563"/>
    <w:rsid w:val="00541154"/>
    <w:rsid w:val="00541899"/>
    <w:rsid w:val="00547B3E"/>
    <w:rsid w:val="005603AE"/>
    <w:rsid w:val="00560CB1"/>
    <w:rsid w:val="00563A40"/>
    <w:rsid w:val="00567E3B"/>
    <w:rsid w:val="0057070A"/>
    <w:rsid w:val="005722B2"/>
    <w:rsid w:val="005770FE"/>
    <w:rsid w:val="00583450"/>
    <w:rsid w:val="005975F9"/>
    <w:rsid w:val="005A4677"/>
    <w:rsid w:val="005A5E80"/>
    <w:rsid w:val="005A7F23"/>
    <w:rsid w:val="005B013A"/>
    <w:rsid w:val="005B21D4"/>
    <w:rsid w:val="005B4107"/>
    <w:rsid w:val="005C2E90"/>
    <w:rsid w:val="005C43CA"/>
    <w:rsid w:val="005C4DC8"/>
    <w:rsid w:val="005D1987"/>
    <w:rsid w:val="005D29EA"/>
    <w:rsid w:val="005D6BFA"/>
    <w:rsid w:val="005E167C"/>
    <w:rsid w:val="005F5F01"/>
    <w:rsid w:val="005F628D"/>
    <w:rsid w:val="006006C9"/>
    <w:rsid w:val="00600ED3"/>
    <w:rsid w:val="00602EE7"/>
    <w:rsid w:val="006035D0"/>
    <w:rsid w:val="00603DD8"/>
    <w:rsid w:val="00606A92"/>
    <w:rsid w:val="00607BC5"/>
    <w:rsid w:val="0061167A"/>
    <w:rsid w:val="006162AC"/>
    <w:rsid w:val="00620A18"/>
    <w:rsid w:val="006301B0"/>
    <w:rsid w:val="006308B1"/>
    <w:rsid w:val="00631BDF"/>
    <w:rsid w:val="00635170"/>
    <w:rsid w:val="00636CD1"/>
    <w:rsid w:val="00636FB0"/>
    <w:rsid w:val="00640D82"/>
    <w:rsid w:val="00640DED"/>
    <w:rsid w:val="0064119A"/>
    <w:rsid w:val="00653573"/>
    <w:rsid w:val="00655047"/>
    <w:rsid w:val="00656A07"/>
    <w:rsid w:val="00661276"/>
    <w:rsid w:val="00665C7E"/>
    <w:rsid w:val="006720BE"/>
    <w:rsid w:val="0067646F"/>
    <w:rsid w:val="00682108"/>
    <w:rsid w:val="006872A2"/>
    <w:rsid w:val="00693548"/>
    <w:rsid w:val="00696103"/>
    <w:rsid w:val="0069760C"/>
    <w:rsid w:val="00697B41"/>
    <w:rsid w:val="006A3AD0"/>
    <w:rsid w:val="006B39BD"/>
    <w:rsid w:val="006B5247"/>
    <w:rsid w:val="006B55F4"/>
    <w:rsid w:val="006C4152"/>
    <w:rsid w:val="006D3404"/>
    <w:rsid w:val="006D5EE1"/>
    <w:rsid w:val="006E0327"/>
    <w:rsid w:val="006F0715"/>
    <w:rsid w:val="006F588A"/>
    <w:rsid w:val="00701080"/>
    <w:rsid w:val="00706F0D"/>
    <w:rsid w:val="00715B4C"/>
    <w:rsid w:val="007211AB"/>
    <w:rsid w:val="007233EE"/>
    <w:rsid w:val="00736A93"/>
    <w:rsid w:val="0074046E"/>
    <w:rsid w:val="00751D96"/>
    <w:rsid w:val="00763B88"/>
    <w:rsid w:val="00765B0F"/>
    <w:rsid w:val="00773FF3"/>
    <w:rsid w:val="00774B15"/>
    <w:rsid w:val="00787594"/>
    <w:rsid w:val="007A5BDB"/>
    <w:rsid w:val="007A5DE2"/>
    <w:rsid w:val="007D11B4"/>
    <w:rsid w:val="007D1548"/>
    <w:rsid w:val="007D1816"/>
    <w:rsid w:val="007D3B51"/>
    <w:rsid w:val="007D5405"/>
    <w:rsid w:val="007E27DF"/>
    <w:rsid w:val="007E50AA"/>
    <w:rsid w:val="007E6FD4"/>
    <w:rsid w:val="007F0689"/>
    <w:rsid w:val="00802AC1"/>
    <w:rsid w:val="00803B89"/>
    <w:rsid w:val="0081500D"/>
    <w:rsid w:val="0081680C"/>
    <w:rsid w:val="008169E7"/>
    <w:rsid w:val="00820641"/>
    <w:rsid w:val="008224E2"/>
    <w:rsid w:val="00835B34"/>
    <w:rsid w:val="00840297"/>
    <w:rsid w:val="0084609F"/>
    <w:rsid w:val="00851BCC"/>
    <w:rsid w:val="0085457E"/>
    <w:rsid w:val="00864445"/>
    <w:rsid w:val="008A21DB"/>
    <w:rsid w:val="008A4134"/>
    <w:rsid w:val="008A5833"/>
    <w:rsid w:val="008B47D1"/>
    <w:rsid w:val="008B617F"/>
    <w:rsid w:val="008E1D86"/>
    <w:rsid w:val="008E1F40"/>
    <w:rsid w:val="008F571C"/>
    <w:rsid w:val="009066CC"/>
    <w:rsid w:val="0090755A"/>
    <w:rsid w:val="00914B7B"/>
    <w:rsid w:val="009246E2"/>
    <w:rsid w:val="00933EC3"/>
    <w:rsid w:val="00934F21"/>
    <w:rsid w:val="00943F7C"/>
    <w:rsid w:val="00956A21"/>
    <w:rsid w:val="00960DAF"/>
    <w:rsid w:val="009644C2"/>
    <w:rsid w:val="00967A82"/>
    <w:rsid w:val="00967D55"/>
    <w:rsid w:val="00972AC9"/>
    <w:rsid w:val="00972E29"/>
    <w:rsid w:val="00985299"/>
    <w:rsid w:val="00995D65"/>
    <w:rsid w:val="009970A5"/>
    <w:rsid w:val="009C2CCF"/>
    <w:rsid w:val="009C368E"/>
    <w:rsid w:val="009D5E28"/>
    <w:rsid w:val="00A07BFB"/>
    <w:rsid w:val="00A13711"/>
    <w:rsid w:val="00A17815"/>
    <w:rsid w:val="00A2464C"/>
    <w:rsid w:val="00A27DD3"/>
    <w:rsid w:val="00A3338E"/>
    <w:rsid w:val="00A42C1E"/>
    <w:rsid w:val="00A46A76"/>
    <w:rsid w:val="00A46DB2"/>
    <w:rsid w:val="00A54F2D"/>
    <w:rsid w:val="00A64D34"/>
    <w:rsid w:val="00A66B22"/>
    <w:rsid w:val="00A74B62"/>
    <w:rsid w:val="00A82DEF"/>
    <w:rsid w:val="00A93275"/>
    <w:rsid w:val="00A94CAA"/>
    <w:rsid w:val="00AA06A9"/>
    <w:rsid w:val="00AA17CC"/>
    <w:rsid w:val="00AB16D8"/>
    <w:rsid w:val="00AB281B"/>
    <w:rsid w:val="00AB33C9"/>
    <w:rsid w:val="00AB42FA"/>
    <w:rsid w:val="00AC064D"/>
    <w:rsid w:val="00AC3605"/>
    <w:rsid w:val="00AC4653"/>
    <w:rsid w:val="00AD12F7"/>
    <w:rsid w:val="00AD1FBD"/>
    <w:rsid w:val="00AD5086"/>
    <w:rsid w:val="00AE5232"/>
    <w:rsid w:val="00AF5FA9"/>
    <w:rsid w:val="00AF60ED"/>
    <w:rsid w:val="00B02607"/>
    <w:rsid w:val="00B05553"/>
    <w:rsid w:val="00B322F9"/>
    <w:rsid w:val="00B431E3"/>
    <w:rsid w:val="00B46C69"/>
    <w:rsid w:val="00B539E6"/>
    <w:rsid w:val="00B543A0"/>
    <w:rsid w:val="00B61260"/>
    <w:rsid w:val="00B77A57"/>
    <w:rsid w:val="00B808F2"/>
    <w:rsid w:val="00B86F94"/>
    <w:rsid w:val="00B92310"/>
    <w:rsid w:val="00B94F2C"/>
    <w:rsid w:val="00BA37CC"/>
    <w:rsid w:val="00BA52D3"/>
    <w:rsid w:val="00BB1A27"/>
    <w:rsid w:val="00BC4907"/>
    <w:rsid w:val="00BD364C"/>
    <w:rsid w:val="00BD5D4A"/>
    <w:rsid w:val="00BE123A"/>
    <w:rsid w:val="00BE29E2"/>
    <w:rsid w:val="00BE2F25"/>
    <w:rsid w:val="00C000A5"/>
    <w:rsid w:val="00C07F11"/>
    <w:rsid w:val="00C219A5"/>
    <w:rsid w:val="00C3094E"/>
    <w:rsid w:val="00C55D14"/>
    <w:rsid w:val="00C64F01"/>
    <w:rsid w:val="00C66A65"/>
    <w:rsid w:val="00C83BD2"/>
    <w:rsid w:val="00CA3873"/>
    <w:rsid w:val="00CB1B9A"/>
    <w:rsid w:val="00CC714C"/>
    <w:rsid w:val="00CD25FE"/>
    <w:rsid w:val="00CF3D87"/>
    <w:rsid w:val="00D1146A"/>
    <w:rsid w:val="00D2609C"/>
    <w:rsid w:val="00D53C03"/>
    <w:rsid w:val="00D646C0"/>
    <w:rsid w:val="00D747B5"/>
    <w:rsid w:val="00D75A6D"/>
    <w:rsid w:val="00D93C71"/>
    <w:rsid w:val="00DC3551"/>
    <w:rsid w:val="00DC63B6"/>
    <w:rsid w:val="00DD115E"/>
    <w:rsid w:val="00DD1671"/>
    <w:rsid w:val="00DD4C22"/>
    <w:rsid w:val="00DF10B0"/>
    <w:rsid w:val="00DF6275"/>
    <w:rsid w:val="00DF727C"/>
    <w:rsid w:val="00E01D89"/>
    <w:rsid w:val="00E15CA4"/>
    <w:rsid w:val="00E2318F"/>
    <w:rsid w:val="00E31887"/>
    <w:rsid w:val="00E41E5D"/>
    <w:rsid w:val="00E420AB"/>
    <w:rsid w:val="00E5162F"/>
    <w:rsid w:val="00E62024"/>
    <w:rsid w:val="00E6573A"/>
    <w:rsid w:val="00E65781"/>
    <w:rsid w:val="00E76C82"/>
    <w:rsid w:val="00E835D4"/>
    <w:rsid w:val="00E83AA0"/>
    <w:rsid w:val="00E878DF"/>
    <w:rsid w:val="00E90489"/>
    <w:rsid w:val="00E93D85"/>
    <w:rsid w:val="00E95F85"/>
    <w:rsid w:val="00E97CAC"/>
    <w:rsid w:val="00EA0093"/>
    <w:rsid w:val="00EA595B"/>
    <w:rsid w:val="00EA643D"/>
    <w:rsid w:val="00EA6F1E"/>
    <w:rsid w:val="00EA732D"/>
    <w:rsid w:val="00EB7A83"/>
    <w:rsid w:val="00EC0C30"/>
    <w:rsid w:val="00EE6807"/>
    <w:rsid w:val="00F05720"/>
    <w:rsid w:val="00F07331"/>
    <w:rsid w:val="00F1339A"/>
    <w:rsid w:val="00F13F55"/>
    <w:rsid w:val="00F27C90"/>
    <w:rsid w:val="00F46960"/>
    <w:rsid w:val="00F53187"/>
    <w:rsid w:val="00F54066"/>
    <w:rsid w:val="00F60F10"/>
    <w:rsid w:val="00F7074F"/>
    <w:rsid w:val="00F71AB7"/>
    <w:rsid w:val="00F80210"/>
    <w:rsid w:val="00F81225"/>
    <w:rsid w:val="00F855AC"/>
    <w:rsid w:val="00F868AA"/>
    <w:rsid w:val="00F86F10"/>
    <w:rsid w:val="00F8D7A9"/>
    <w:rsid w:val="00F935E7"/>
    <w:rsid w:val="00F941C1"/>
    <w:rsid w:val="00F96E98"/>
    <w:rsid w:val="00FA61FA"/>
    <w:rsid w:val="00FB383A"/>
    <w:rsid w:val="00FC57CF"/>
    <w:rsid w:val="00FD07DE"/>
    <w:rsid w:val="00FD1B43"/>
    <w:rsid w:val="00FE0C3C"/>
    <w:rsid w:val="00FE59F0"/>
    <w:rsid w:val="00FF20C4"/>
    <w:rsid w:val="00FF4EB2"/>
    <w:rsid w:val="0238B3CD"/>
    <w:rsid w:val="0D356BB2"/>
    <w:rsid w:val="130CDE80"/>
    <w:rsid w:val="29B1CCD3"/>
    <w:rsid w:val="3C4B731E"/>
    <w:rsid w:val="45D5517D"/>
    <w:rsid w:val="53AB7302"/>
    <w:rsid w:val="5B19BE03"/>
    <w:rsid w:val="5DB170B3"/>
    <w:rsid w:val="60332518"/>
    <w:rsid w:val="6790C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94008"/>
  <w15:docId w15:val="{9DBCFDD0-A020-4C7C-BDA6-2461C85C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64C"/>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364C"/>
    <w:pPr>
      <w:tabs>
        <w:tab w:val="center" w:pos="4513"/>
        <w:tab w:val="right" w:pos="9026"/>
      </w:tabs>
    </w:pPr>
  </w:style>
  <w:style w:type="character" w:customStyle="1" w:styleId="NagwekZnak">
    <w:name w:val="Nagłówek Znak"/>
    <w:basedOn w:val="Domylnaczcionkaakapitu"/>
    <w:link w:val="Nagwek"/>
    <w:uiPriority w:val="99"/>
    <w:rsid w:val="00BD364C"/>
  </w:style>
  <w:style w:type="paragraph" w:styleId="Stopka">
    <w:name w:val="footer"/>
    <w:basedOn w:val="Normalny"/>
    <w:link w:val="StopkaZnak"/>
    <w:uiPriority w:val="99"/>
    <w:unhideWhenUsed/>
    <w:rsid w:val="00BD364C"/>
    <w:pPr>
      <w:tabs>
        <w:tab w:val="center" w:pos="4513"/>
        <w:tab w:val="right" w:pos="9026"/>
      </w:tabs>
    </w:pPr>
  </w:style>
  <w:style w:type="character" w:customStyle="1" w:styleId="StopkaZnak">
    <w:name w:val="Stopka Znak"/>
    <w:basedOn w:val="Domylnaczcionkaakapitu"/>
    <w:link w:val="Stopka"/>
    <w:uiPriority w:val="99"/>
    <w:rsid w:val="00BD364C"/>
  </w:style>
  <w:style w:type="paragraph" w:styleId="Akapitzlist">
    <w:name w:val="List Paragraph"/>
    <w:basedOn w:val="Normalny"/>
    <w:uiPriority w:val="34"/>
    <w:qFormat/>
    <w:rsid w:val="00A82DEF"/>
    <w:pPr>
      <w:ind w:left="720"/>
      <w:contextualSpacing/>
    </w:pPr>
  </w:style>
  <w:style w:type="paragraph" w:styleId="Tekstdymka">
    <w:name w:val="Balloon Text"/>
    <w:basedOn w:val="Normalny"/>
    <w:link w:val="TekstdymkaZnak"/>
    <w:uiPriority w:val="99"/>
    <w:semiHidden/>
    <w:unhideWhenUsed/>
    <w:rsid w:val="007D1816"/>
    <w:rPr>
      <w:rFonts w:ascii="Tahoma" w:hAnsi="Tahoma" w:cs="Tahoma"/>
      <w:sz w:val="16"/>
      <w:szCs w:val="16"/>
    </w:rPr>
  </w:style>
  <w:style w:type="character" w:customStyle="1" w:styleId="TekstdymkaZnak">
    <w:name w:val="Tekst dymka Znak"/>
    <w:basedOn w:val="Domylnaczcionkaakapitu"/>
    <w:link w:val="Tekstdymka"/>
    <w:uiPriority w:val="99"/>
    <w:semiHidden/>
    <w:rsid w:val="007D1816"/>
    <w:rPr>
      <w:rFonts w:ascii="Tahoma" w:hAnsi="Tahoma" w:cs="Tahoma"/>
      <w:sz w:val="16"/>
      <w:szCs w:val="16"/>
      <w:lang w:eastAsia="en-GB"/>
    </w:rPr>
  </w:style>
  <w:style w:type="character" w:styleId="Odwoaniedokomentarza">
    <w:name w:val="annotation reference"/>
    <w:basedOn w:val="Domylnaczcionkaakapitu"/>
    <w:uiPriority w:val="99"/>
    <w:semiHidden/>
    <w:unhideWhenUsed/>
    <w:rsid w:val="00E2318F"/>
    <w:rPr>
      <w:sz w:val="16"/>
      <w:szCs w:val="16"/>
    </w:rPr>
  </w:style>
  <w:style w:type="paragraph" w:styleId="Tekstkomentarza">
    <w:name w:val="annotation text"/>
    <w:basedOn w:val="Normalny"/>
    <w:link w:val="TekstkomentarzaZnak"/>
    <w:uiPriority w:val="99"/>
    <w:semiHidden/>
    <w:unhideWhenUsed/>
    <w:rsid w:val="00E2318F"/>
    <w:rPr>
      <w:sz w:val="20"/>
      <w:szCs w:val="20"/>
    </w:rPr>
  </w:style>
  <w:style w:type="character" w:customStyle="1" w:styleId="TekstkomentarzaZnak">
    <w:name w:val="Tekst komentarza Znak"/>
    <w:basedOn w:val="Domylnaczcionkaakapitu"/>
    <w:link w:val="Tekstkomentarza"/>
    <w:uiPriority w:val="99"/>
    <w:semiHidden/>
    <w:rsid w:val="00E2318F"/>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E2318F"/>
    <w:rPr>
      <w:b/>
      <w:bCs/>
    </w:rPr>
  </w:style>
  <w:style w:type="character" w:customStyle="1" w:styleId="TematkomentarzaZnak">
    <w:name w:val="Temat komentarza Znak"/>
    <w:basedOn w:val="TekstkomentarzaZnak"/>
    <w:link w:val="Tematkomentarza"/>
    <w:uiPriority w:val="99"/>
    <w:semiHidden/>
    <w:rsid w:val="00E2318F"/>
    <w:rPr>
      <w:rFonts w:ascii="Calibri" w:hAnsi="Calibri" w:cs="Calibri"/>
      <w:b/>
      <w:bCs/>
      <w:sz w:val="20"/>
      <w:szCs w:val="20"/>
      <w:lang w:eastAsia="en-GB"/>
    </w:rPr>
  </w:style>
  <w:style w:type="paragraph" w:customStyle="1" w:styleId="paragraph">
    <w:name w:val="paragraph"/>
    <w:basedOn w:val="Normalny"/>
    <w:rsid w:val="00BD5D4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rsid w:val="00BD5D4A"/>
  </w:style>
  <w:style w:type="character" w:customStyle="1" w:styleId="eop">
    <w:name w:val="eop"/>
    <w:rsid w:val="00BD5D4A"/>
  </w:style>
  <w:style w:type="character" w:customStyle="1" w:styleId="spellingerror">
    <w:name w:val="spellingerror"/>
    <w:rsid w:val="00BD5D4A"/>
  </w:style>
  <w:style w:type="character" w:styleId="Hipercze">
    <w:name w:val="Hyperlink"/>
    <w:basedOn w:val="Domylnaczcionkaakapitu"/>
    <w:uiPriority w:val="99"/>
    <w:unhideWhenUsed/>
    <w:rsid w:val="00036AD7"/>
    <w:rPr>
      <w:color w:val="0563C1" w:themeColor="hyperlink"/>
      <w:u w:val="single"/>
    </w:rPr>
  </w:style>
  <w:style w:type="character" w:customStyle="1" w:styleId="UnresolvedMention1">
    <w:name w:val="Unresolved Mention1"/>
    <w:basedOn w:val="Domylnaczcionkaakapitu"/>
    <w:uiPriority w:val="99"/>
    <w:semiHidden/>
    <w:unhideWhenUsed/>
    <w:rsid w:val="00036AD7"/>
    <w:rPr>
      <w:color w:val="605E5C"/>
      <w:shd w:val="clear" w:color="auto" w:fill="E1DFDD"/>
    </w:rPr>
  </w:style>
  <w:style w:type="paragraph" w:customStyle="1" w:styleId="xmsonormal">
    <w:name w:val="x_msonormal"/>
    <w:basedOn w:val="Normalny"/>
    <w:uiPriority w:val="99"/>
    <w:rsid w:val="00AA06A9"/>
  </w:style>
  <w:style w:type="paragraph" w:customStyle="1" w:styleId="text">
    <w:name w:val="text"/>
    <w:basedOn w:val="Normalny"/>
    <w:rsid w:val="00F60F10"/>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Tekstpodstawowy"/>
    <w:link w:val="BulletChar"/>
    <w:uiPriority w:val="3"/>
    <w:qFormat/>
    <w:rsid w:val="00060321"/>
    <w:pPr>
      <w:numPr>
        <w:numId w:val="12"/>
      </w:numPr>
      <w:spacing w:after="227" w:line="240" w:lineRule="exact"/>
    </w:pPr>
    <w:rPr>
      <w:rFonts w:ascii="Arial" w:hAnsi="Arial"/>
      <w:color w:val="4472C4" w:themeColor="accent1"/>
      <w:sz w:val="18"/>
      <w:szCs w:val="20"/>
      <w:lang w:val="en-US"/>
    </w:rPr>
  </w:style>
  <w:style w:type="character" w:customStyle="1" w:styleId="BulletChar">
    <w:name w:val="Bullet Char"/>
    <w:basedOn w:val="TekstpodstawowyZnak"/>
    <w:link w:val="Bullet"/>
    <w:uiPriority w:val="3"/>
    <w:rsid w:val="00060321"/>
    <w:rPr>
      <w:rFonts w:ascii="Arial" w:hAnsi="Arial" w:cs="Calibri"/>
      <w:color w:val="4472C4" w:themeColor="accent1"/>
      <w:sz w:val="18"/>
      <w:szCs w:val="20"/>
      <w:lang w:val="en-US" w:eastAsia="en-GB"/>
    </w:rPr>
  </w:style>
  <w:style w:type="paragraph" w:styleId="Tekstpodstawowy">
    <w:name w:val="Body Text"/>
    <w:basedOn w:val="Normalny"/>
    <w:link w:val="TekstpodstawowyZnak"/>
    <w:uiPriority w:val="99"/>
    <w:semiHidden/>
    <w:unhideWhenUsed/>
    <w:rsid w:val="00060321"/>
    <w:pPr>
      <w:spacing w:after="120"/>
    </w:pPr>
  </w:style>
  <w:style w:type="character" w:customStyle="1" w:styleId="TekstpodstawowyZnak">
    <w:name w:val="Tekst podstawowy Znak"/>
    <w:basedOn w:val="Domylnaczcionkaakapitu"/>
    <w:link w:val="Tekstpodstawowy"/>
    <w:uiPriority w:val="99"/>
    <w:semiHidden/>
    <w:rsid w:val="00060321"/>
    <w:rPr>
      <w:rFonts w:ascii="Calibri" w:hAnsi="Calibri" w:cs="Calibri"/>
      <w:lang w:eastAsia="en-GB"/>
    </w:rPr>
  </w:style>
  <w:style w:type="paragraph" w:styleId="Tekstprzypisudolnego">
    <w:name w:val="footnote text"/>
    <w:basedOn w:val="Normalny"/>
    <w:link w:val="TekstprzypisudolnegoZnak"/>
    <w:uiPriority w:val="99"/>
    <w:unhideWhenUsed/>
    <w:rsid w:val="002462B5"/>
    <w:rPr>
      <w:rFonts w:ascii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462B5"/>
    <w:rPr>
      <w:sz w:val="20"/>
      <w:szCs w:val="20"/>
    </w:rPr>
  </w:style>
  <w:style w:type="character" w:styleId="Odwoanieprzypisudolnego">
    <w:name w:val="footnote reference"/>
    <w:basedOn w:val="Domylnaczcionkaakapitu"/>
    <w:uiPriority w:val="99"/>
    <w:unhideWhenUsed/>
    <w:rsid w:val="00246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1774">
      <w:bodyDiv w:val="1"/>
      <w:marLeft w:val="0"/>
      <w:marRight w:val="0"/>
      <w:marTop w:val="0"/>
      <w:marBottom w:val="0"/>
      <w:divBdr>
        <w:top w:val="none" w:sz="0" w:space="0" w:color="auto"/>
        <w:left w:val="none" w:sz="0" w:space="0" w:color="auto"/>
        <w:bottom w:val="none" w:sz="0" w:space="0" w:color="auto"/>
        <w:right w:val="none" w:sz="0" w:space="0" w:color="auto"/>
      </w:divBdr>
    </w:div>
    <w:div w:id="229073751">
      <w:bodyDiv w:val="1"/>
      <w:marLeft w:val="0"/>
      <w:marRight w:val="0"/>
      <w:marTop w:val="0"/>
      <w:marBottom w:val="0"/>
      <w:divBdr>
        <w:top w:val="none" w:sz="0" w:space="0" w:color="auto"/>
        <w:left w:val="none" w:sz="0" w:space="0" w:color="auto"/>
        <w:bottom w:val="none" w:sz="0" w:space="0" w:color="auto"/>
        <w:right w:val="none" w:sz="0" w:space="0" w:color="auto"/>
      </w:divBdr>
    </w:div>
    <w:div w:id="262766047">
      <w:bodyDiv w:val="1"/>
      <w:marLeft w:val="0"/>
      <w:marRight w:val="0"/>
      <w:marTop w:val="0"/>
      <w:marBottom w:val="0"/>
      <w:divBdr>
        <w:top w:val="none" w:sz="0" w:space="0" w:color="auto"/>
        <w:left w:val="none" w:sz="0" w:space="0" w:color="auto"/>
        <w:bottom w:val="none" w:sz="0" w:space="0" w:color="auto"/>
        <w:right w:val="none" w:sz="0" w:space="0" w:color="auto"/>
      </w:divBdr>
    </w:div>
    <w:div w:id="369691771">
      <w:bodyDiv w:val="1"/>
      <w:marLeft w:val="0"/>
      <w:marRight w:val="0"/>
      <w:marTop w:val="0"/>
      <w:marBottom w:val="0"/>
      <w:divBdr>
        <w:top w:val="none" w:sz="0" w:space="0" w:color="auto"/>
        <w:left w:val="none" w:sz="0" w:space="0" w:color="auto"/>
        <w:bottom w:val="none" w:sz="0" w:space="0" w:color="auto"/>
        <w:right w:val="none" w:sz="0" w:space="0" w:color="auto"/>
      </w:divBdr>
    </w:div>
    <w:div w:id="522935236">
      <w:bodyDiv w:val="1"/>
      <w:marLeft w:val="0"/>
      <w:marRight w:val="0"/>
      <w:marTop w:val="0"/>
      <w:marBottom w:val="0"/>
      <w:divBdr>
        <w:top w:val="none" w:sz="0" w:space="0" w:color="auto"/>
        <w:left w:val="none" w:sz="0" w:space="0" w:color="auto"/>
        <w:bottom w:val="none" w:sz="0" w:space="0" w:color="auto"/>
        <w:right w:val="none" w:sz="0" w:space="0" w:color="auto"/>
      </w:divBdr>
    </w:div>
    <w:div w:id="542059845">
      <w:bodyDiv w:val="1"/>
      <w:marLeft w:val="0"/>
      <w:marRight w:val="0"/>
      <w:marTop w:val="0"/>
      <w:marBottom w:val="0"/>
      <w:divBdr>
        <w:top w:val="none" w:sz="0" w:space="0" w:color="auto"/>
        <w:left w:val="none" w:sz="0" w:space="0" w:color="auto"/>
        <w:bottom w:val="none" w:sz="0" w:space="0" w:color="auto"/>
        <w:right w:val="none" w:sz="0" w:space="0" w:color="auto"/>
      </w:divBdr>
      <w:divsChild>
        <w:div w:id="559483381">
          <w:marLeft w:val="0"/>
          <w:marRight w:val="0"/>
          <w:marTop w:val="0"/>
          <w:marBottom w:val="0"/>
          <w:divBdr>
            <w:top w:val="none" w:sz="0" w:space="0" w:color="auto"/>
            <w:left w:val="none" w:sz="0" w:space="0" w:color="auto"/>
            <w:bottom w:val="none" w:sz="0" w:space="0" w:color="auto"/>
            <w:right w:val="none" w:sz="0" w:space="0" w:color="auto"/>
          </w:divBdr>
        </w:div>
        <w:div w:id="1486387459">
          <w:marLeft w:val="0"/>
          <w:marRight w:val="0"/>
          <w:marTop w:val="0"/>
          <w:marBottom w:val="0"/>
          <w:divBdr>
            <w:top w:val="none" w:sz="0" w:space="0" w:color="auto"/>
            <w:left w:val="none" w:sz="0" w:space="0" w:color="auto"/>
            <w:bottom w:val="none" w:sz="0" w:space="0" w:color="auto"/>
            <w:right w:val="none" w:sz="0" w:space="0" w:color="auto"/>
          </w:divBdr>
          <w:divsChild>
            <w:div w:id="160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5783">
      <w:bodyDiv w:val="1"/>
      <w:marLeft w:val="0"/>
      <w:marRight w:val="0"/>
      <w:marTop w:val="0"/>
      <w:marBottom w:val="0"/>
      <w:divBdr>
        <w:top w:val="none" w:sz="0" w:space="0" w:color="auto"/>
        <w:left w:val="none" w:sz="0" w:space="0" w:color="auto"/>
        <w:bottom w:val="none" w:sz="0" w:space="0" w:color="auto"/>
        <w:right w:val="none" w:sz="0" w:space="0" w:color="auto"/>
      </w:divBdr>
    </w:div>
    <w:div w:id="699745709">
      <w:bodyDiv w:val="1"/>
      <w:marLeft w:val="0"/>
      <w:marRight w:val="0"/>
      <w:marTop w:val="0"/>
      <w:marBottom w:val="0"/>
      <w:divBdr>
        <w:top w:val="none" w:sz="0" w:space="0" w:color="auto"/>
        <w:left w:val="none" w:sz="0" w:space="0" w:color="auto"/>
        <w:bottom w:val="none" w:sz="0" w:space="0" w:color="auto"/>
        <w:right w:val="none" w:sz="0" w:space="0" w:color="auto"/>
      </w:divBdr>
    </w:div>
    <w:div w:id="725376545">
      <w:bodyDiv w:val="1"/>
      <w:marLeft w:val="0"/>
      <w:marRight w:val="0"/>
      <w:marTop w:val="0"/>
      <w:marBottom w:val="0"/>
      <w:divBdr>
        <w:top w:val="none" w:sz="0" w:space="0" w:color="auto"/>
        <w:left w:val="none" w:sz="0" w:space="0" w:color="auto"/>
        <w:bottom w:val="none" w:sz="0" w:space="0" w:color="auto"/>
        <w:right w:val="none" w:sz="0" w:space="0" w:color="auto"/>
      </w:divBdr>
    </w:div>
    <w:div w:id="1116799144">
      <w:bodyDiv w:val="1"/>
      <w:marLeft w:val="0"/>
      <w:marRight w:val="0"/>
      <w:marTop w:val="0"/>
      <w:marBottom w:val="0"/>
      <w:divBdr>
        <w:top w:val="none" w:sz="0" w:space="0" w:color="auto"/>
        <w:left w:val="none" w:sz="0" w:space="0" w:color="auto"/>
        <w:bottom w:val="none" w:sz="0" w:space="0" w:color="auto"/>
        <w:right w:val="none" w:sz="0" w:space="0" w:color="auto"/>
      </w:divBdr>
      <w:divsChild>
        <w:div w:id="696002921">
          <w:marLeft w:val="0"/>
          <w:marRight w:val="0"/>
          <w:marTop w:val="0"/>
          <w:marBottom w:val="0"/>
          <w:divBdr>
            <w:top w:val="none" w:sz="0" w:space="0" w:color="auto"/>
            <w:left w:val="none" w:sz="0" w:space="0" w:color="auto"/>
            <w:bottom w:val="none" w:sz="0" w:space="0" w:color="auto"/>
            <w:right w:val="none" w:sz="0" w:space="0" w:color="auto"/>
          </w:divBdr>
          <w:divsChild>
            <w:div w:id="2142652018">
              <w:marLeft w:val="0"/>
              <w:marRight w:val="0"/>
              <w:marTop w:val="0"/>
              <w:marBottom w:val="0"/>
              <w:divBdr>
                <w:top w:val="none" w:sz="0" w:space="0" w:color="auto"/>
                <w:left w:val="none" w:sz="0" w:space="0" w:color="auto"/>
                <w:bottom w:val="none" w:sz="0" w:space="0" w:color="auto"/>
                <w:right w:val="none" w:sz="0" w:space="0" w:color="auto"/>
              </w:divBdr>
            </w:div>
          </w:divsChild>
        </w:div>
        <w:div w:id="1351685178">
          <w:marLeft w:val="0"/>
          <w:marRight w:val="0"/>
          <w:marTop w:val="0"/>
          <w:marBottom w:val="0"/>
          <w:divBdr>
            <w:top w:val="none" w:sz="0" w:space="0" w:color="auto"/>
            <w:left w:val="none" w:sz="0" w:space="0" w:color="auto"/>
            <w:bottom w:val="none" w:sz="0" w:space="0" w:color="auto"/>
            <w:right w:val="none" w:sz="0" w:space="0" w:color="auto"/>
          </w:divBdr>
        </w:div>
      </w:divsChild>
    </w:div>
    <w:div w:id="1294599724">
      <w:bodyDiv w:val="1"/>
      <w:marLeft w:val="0"/>
      <w:marRight w:val="0"/>
      <w:marTop w:val="0"/>
      <w:marBottom w:val="0"/>
      <w:divBdr>
        <w:top w:val="none" w:sz="0" w:space="0" w:color="auto"/>
        <w:left w:val="none" w:sz="0" w:space="0" w:color="auto"/>
        <w:bottom w:val="none" w:sz="0" w:space="0" w:color="auto"/>
        <w:right w:val="none" w:sz="0" w:space="0" w:color="auto"/>
      </w:divBdr>
    </w:div>
    <w:div w:id="1390959560">
      <w:bodyDiv w:val="1"/>
      <w:marLeft w:val="0"/>
      <w:marRight w:val="0"/>
      <w:marTop w:val="0"/>
      <w:marBottom w:val="0"/>
      <w:divBdr>
        <w:top w:val="none" w:sz="0" w:space="0" w:color="auto"/>
        <w:left w:val="none" w:sz="0" w:space="0" w:color="auto"/>
        <w:bottom w:val="none" w:sz="0" w:space="0" w:color="auto"/>
        <w:right w:val="none" w:sz="0" w:space="0" w:color="auto"/>
      </w:divBdr>
    </w:div>
    <w:div w:id="1446465151">
      <w:bodyDiv w:val="1"/>
      <w:marLeft w:val="0"/>
      <w:marRight w:val="0"/>
      <w:marTop w:val="0"/>
      <w:marBottom w:val="0"/>
      <w:divBdr>
        <w:top w:val="none" w:sz="0" w:space="0" w:color="auto"/>
        <w:left w:val="none" w:sz="0" w:space="0" w:color="auto"/>
        <w:bottom w:val="none" w:sz="0" w:space="0" w:color="auto"/>
        <w:right w:val="none" w:sz="0" w:space="0" w:color="auto"/>
      </w:divBdr>
    </w:div>
    <w:div w:id="1477724373">
      <w:bodyDiv w:val="1"/>
      <w:marLeft w:val="0"/>
      <w:marRight w:val="0"/>
      <w:marTop w:val="0"/>
      <w:marBottom w:val="0"/>
      <w:divBdr>
        <w:top w:val="none" w:sz="0" w:space="0" w:color="auto"/>
        <w:left w:val="none" w:sz="0" w:space="0" w:color="auto"/>
        <w:bottom w:val="none" w:sz="0" w:space="0" w:color="auto"/>
        <w:right w:val="none" w:sz="0" w:space="0" w:color="auto"/>
      </w:divBdr>
    </w:div>
    <w:div w:id="1575041471">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89683677">
      <w:bodyDiv w:val="1"/>
      <w:marLeft w:val="0"/>
      <w:marRight w:val="0"/>
      <w:marTop w:val="0"/>
      <w:marBottom w:val="0"/>
      <w:divBdr>
        <w:top w:val="none" w:sz="0" w:space="0" w:color="auto"/>
        <w:left w:val="none" w:sz="0" w:space="0" w:color="auto"/>
        <w:bottom w:val="none" w:sz="0" w:space="0" w:color="auto"/>
        <w:right w:val="none" w:sz="0" w:space="0" w:color="auto"/>
      </w:divBdr>
    </w:div>
    <w:div w:id="1895696288">
      <w:bodyDiv w:val="1"/>
      <w:marLeft w:val="0"/>
      <w:marRight w:val="0"/>
      <w:marTop w:val="0"/>
      <w:marBottom w:val="0"/>
      <w:divBdr>
        <w:top w:val="none" w:sz="0" w:space="0" w:color="auto"/>
        <w:left w:val="none" w:sz="0" w:space="0" w:color="auto"/>
        <w:bottom w:val="none" w:sz="0" w:space="0" w:color="auto"/>
        <w:right w:val="none" w:sz="0" w:space="0" w:color="auto"/>
      </w:divBdr>
    </w:div>
    <w:div w:id="1924146363">
      <w:bodyDiv w:val="1"/>
      <w:marLeft w:val="0"/>
      <w:marRight w:val="0"/>
      <w:marTop w:val="0"/>
      <w:marBottom w:val="0"/>
      <w:divBdr>
        <w:top w:val="none" w:sz="0" w:space="0" w:color="auto"/>
        <w:left w:val="none" w:sz="0" w:space="0" w:color="auto"/>
        <w:bottom w:val="none" w:sz="0" w:space="0" w:color="auto"/>
        <w:right w:val="none" w:sz="0" w:space="0" w:color="auto"/>
      </w:divBdr>
    </w:div>
    <w:div w:id="1967392213">
      <w:bodyDiv w:val="1"/>
      <w:marLeft w:val="0"/>
      <w:marRight w:val="0"/>
      <w:marTop w:val="0"/>
      <w:marBottom w:val="0"/>
      <w:divBdr>
        <w:top w:val="none" w:sz="0" w:space="0" w:color="auto"/>
        <w:left w:val="none" w:sz="0" w:space="0" w:color="auto"/>
        <w:bottom w:val="none" w:sz="0" w:space="0" w:color="auto"/>
        <w:right w:val="none" w:sz="0" w:space="0" w:color="auto"/>
      </w:divBdr>
    </w:div>
    <w:div w:id="2080129915">
      <w:bodyDiv w:val="1"/>
      <w:marLeft w:val="0"/>
      <w:marRight w:val="0"/>
      <w:marTop w:val="0"/>
      <w:marBottom w:val="0"/>
      <w:divBdr>
        <w:top w:val="none" w:sz="0" w:space="0" w:color="auto"/>
        <w:left w:val="none" w:sz="0" w:space="0" w:color="auto"/>
        <w:bottom w:val="none" w:sz="0" w:space="0" w:color="auto"/>
        <w:right w:val="none" w:sz="0" w:space="0" w:color="auto"/>
      </w:divBdr>
    </w:div>
    <w:div w:id="2118407481">
      <w:bodyDiv w:val="1"/>
      <w:marLeft w:val="0"/>
      <w:marRight w:val="0"/>
      <w:marTop w:val="0"/>
      <w:marBottom w:val="0"/>
      <w:divBdr>
        <w:top w:val="none" w:sz="0" w:space="0" w:color="auto"/>
        <w:left w:val="none" w:sz="0" w:space="0" w:color="auto"/>
        <w:bottom w:val="none" w:sz="0" w:space="0" w:color="auto"/>
        <w:right w:val="none" w:sz="0" w:space="0" w:color="auto"/>
      </w:divBdr>
    </w:div>
    <w:div w:id="2143959136">
      <w:bodyDiv w:val="1"/>
      <w:marLeft w:val="0"/>
      <w:marRight w:val="0"/>
      <w:marTop w:val="0"/>
      <w:marBottom w:val="0"/>
      <w:divBdr>
        <w:top w:val="none" w:sz="0" w:space="0" w:color="auto"/>
        <w:left w:val="none" w:sz="0" w:space="0" w:color="auto"/>
        <w:bottom w:val="none" w:sz="0" w:space="0" w:color="auto"/>
        <w:right w:val="none" w:sz="0" w:space="0" w:color="auto"/>
      </w:divBdr>
    </w:div>
    <w:div w:id="2144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ielgus@advancedpr.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illsim.com/research/outlook-2021.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3FF07247E95D4DAC2D7CC6627457D2" ma:contentTypeVersion="12" ma:contentTypeDescription="Ein neues Dokument erstellen." ma:contentTypeScope="" ma:versionID="c7a6e19a4fc76c4d2f329ab8d00f75fa">
  <xsd:schema xmlns:xsd="http://www.w3.org/2001/XMLSchema" xmlns:xs="http://www.w3.org/2001/XMLSchema" xmlns:p="http://schemas.microsoft.com/office/2006/metadata/properties" xmlns:ns3="3ee39994-7761-4533-bf64-ac49452d27ac" xmlns:ns4="c2df1a83-7e38-4d8f-adb7-0ec6676413c0" targetNamespace="http://schemas.microsoft.com/office/2006/metadata/properties" ma:root="true" ma:fieldsID="54a880efec000d6722d66d2ee58fd634" ns3:_="" ns4:_="">
    <xsd:import namespace="3ee39994-7761-4533-bf64-ac49452d27ac"/>
    <xsd:import namespace="c2df1a83-7e38-4d8f-adb7-0ec6676413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9994-7761-4533-bf64-ac49452d2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f1a83-7e38-4d8f-adb7-0ec6676413c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6135-8332-4F1F-AA8F-378F3CA23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A43DF-60D4-46C7-BC7D-C23C877D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9994-7761-4533-bf64-ac49452d27ac"/>
    <ds:schemaRef ds:uri="c2df1a83-7e38-4d8f-adb7-0ec667641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934F2-7F46-4A97-A838-5516C863F6C3}">
  <ds:schemaRefs>
    <ds:schemaRef ds:uri="http://schemas.microsoft.com/sharepoint/v3/contenttype/forms"/>
  </ds:schemaRefs>
</ds:datastoreItem>
</file>

<file path=customXml/itemProps4.xml><?xml version="1.0" encoding="utf-8"?>
<ds:datastoreItem xmlns:ds="http://schemas.openxmlformats.org/officeDocument/2006/customXml" ds:itemID="{93F36808-48BE-4458-95A1-0DED89AD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1818</Words>
  <Characters>10911</Characters>
  <Application>Microsoft Office Word</Application>
  <DocSecurity>0</DocSecurity>
  <Lines>90</Lines>
  <Paragraphs>25</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Savills plc</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Sheridan</dc:creator>
  <cp:keywords/>
  <cp:lastModifiedBy>Krzysztof Wielgus</cp:lastModifiedBy>
  <cp:revision>11</cp:revision>
  <cp:lastPrinted>2018-06-25T21:26:00Z</cp:lastPrinted>
  <dcterms:created xsi:type="dcterms:W3CDTF">2020-11-23T09:44:00Z</dcterms:created>
  <dcterms:modified xsi:type="dcterms:W3CDTF">2020-11-25T16:19:00Z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0x010100DA3FF07247E95D4DAC2D7CC6627457D2</vt:lpwstr>
  </property>
</Properties>
</file>